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F17E" w14:textId="77777777" w:rsidR="00D65159" w:rsidRDefault="00D65159" w:rsidP="00D65159">
      <w:pPr>
        <w:jc w:val="center"/>
        <w:rPr>
          <w:b/>
          <w:bCs/>
          <w:sz w:val="72"/>
          <w:szCs w:val="72"/>
          <w:lang w:val="en-US"/>
        </w:rPr>
      </w:pPr>
      <w:r w:rsidRPr="00FF75D8">
        <w:rPr>
          <w:b/>
          <w:bCs/>
          <w:sz w:val="72"/>
          <w:szCs w:val="72"/>
          <w:lang w:val="en-US"/>
        </w:rPr>
        <w:t>Foundation Job Description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502"/>
        <w:gridCol w:w="1825"/>
        <w:gridCol w:w="70"/>
        <w:gridCol w:w="1701"/>
        <w:gridCol w:w="54"/>
        <w:gridCol w:w="1789"/>
        <w:gridCol w:w="36"/>
        <w:gridCol w:w="1825"/>
        <w:gridCol w:w="1825"/>
      </w:tblGrid>
      <w:tr w:rsidR="00D65159" w:rsidRPr="00F62F09" w14:paraId="783FA291" w14:textId="77777777" w:rsidTr="00ED459B">
        <w:tc>
          <w:tcPr>
            <w:tcW w:w="10627" w:type="dxa"/>
            <w:gridSpan w:val="9"/>
            <w:shd w:val="clear" w:color="auto" w:fill="C1F0C7" w:themeFill="accent3" w:themeFillTint="33"/>
          </w:tcPr>
          <w:p w14:paraId="11E779FD" w14:textId="3D154486" w:rsidR="00D65159" w:rsidRPr="00F62F09" w:rsidRDefault="00D65159" w:rsidP="00F62F09">
            <w:pPr>
              <w:jc w:val="center"/>
              <w:rPr>
                <w:b/>
                <w:bCs/>
                <w:sz w:val="28"/>
                <w:szCs w:val="28"/>
              </w:rPr>
            </w:pPr>
            <w:r w:rsidRPr="00F62F09">
              <w:rPr>
                <w:b/>
                <w:bCs/>
                <w:sz w:val="28"/>
                <w:szCs w:val="28"/>
              </w:rPr>
              <w:t>Foundation School</w:t>
            </w:r>
          </w:p>
        </w:tc>
      </w:tr>
      <w:tr w:rsidR="00D65159" w14:paraId="6117EC23" w14:textId="77777777" w:rsidTr="00AA11C4">
        <w:trPr>
          <w:trHeight w:val="514"/>
        </w:trPr>
        <w:tc>
          <w:tcPr>
            <w:tcW w:w="10627" w:type="dxa"/>
            <w:gridSpan w:val="9"/>
            <w:vAlign w:val="center"/>
          </w:tcPr>
          <w:p w14:paraId="3C4C95B4" w14:textId="342FE404" w:rsidR="00414F83" w:rsidRDefault="00AA11C4" w:rsidP="00AA11C4">
            <w:pPr>
              <w:jc w:val="center"/>
            </w:pPr>
            <w:r>
              <w:t xml:space="preserve">LNR </w:t>
            </w:r>
          </w:p>
        </w:tc>
      </w:tr>
      <w:tr w:rsidR="00AA2516" w:rsidRPr="00414F83" w14:paraId="3877837A" w14:textId="77777777" w:rsidTr="00ED459B">
        <w:trPr>
          <w:trHeight w:val="123"/>
        </w:trPr>
        <w:tc>
          <w:tcPr>
            <w:tcW w:w="3397" w:type="dxa"/>
            <w:gridSpan w:val="3"/>
            <w:shd w:val="clear" w:color="auto" w:fill="C1F0C7" w:themeFill="accent3" w:themeFillTint="33"/>
          </w:tcPr>
          <w:p w14:paraId="7B707E45" w14:textId="77777777" w:rsidR="00AA2516" w:rsidRDefault="00AA2516" w:rsidP="00F62F09">
            <w:pPr>
              <w:jc w:val="center"/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Grade</w:t>
            </w:r>
          </w:p>
          <w:p w14:paraId="2882DF2C" w14:textId="3323A9F7" w:rsidR="00E82279" w:rsidRPr="00E82279" w:rsidRDefault="00E82279" w:rsidP="00F62F09">
            <w:pPr>
              <w:jc w:val="center"/>
              <w:rPr>
                <w:i/>
                <w:iCs/>
                <w:sz w:val="24"/>
                <w:szCs w:val="24"/>
              </w:rPr>
            </w:pPr>
            <w:r w:rsidRPr="00E82279">
              <w:rPr>
                <w:i/>
                <w:iCs/>
              </w:rPr>
              <w:t>(F1 or F2)</w:t>
            </w:r>
          </w:p>
        </w:tc>
        <w:tc>
          <w:tcPr>
            <w:tcW w:w="3544" w:type="dxa"/>
            <w:gridSpan w:val="3"/>
            <w:shd w:val="clear" w:color="auto" w:fill="C1F0C7" w:themeFill="accent3" w:themeFillTint="33"/>
          </w:tcPr>
          <w:p w14:paraId="4F32D867" w14:textId="77777777" w:rsidR="00AA2516" w:rsidRDefault="00AA2516" w:rsidP="00F62F09">
            <w:pPr>
              <w:jc w:val="center"/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Specialty</w:t>
            </w:r>
          </w:p>
          <w:p w14:paraId="3FB862EA" w14:textId="7E60F849" w:rsidR="0026628D" w:rsidRPr="0026628D" w:rsidRDefault="0026628D" w:rsidP="0026628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82279">
              <w:rPr>
                <w:i/>
                <w:iCs/>
                <w:lang w:val="en-US"/>
              </w:rPr>
              <w:t>If General (Internal) Medicine OR General Surgery, please provide a sub-specialty</w:t>
            </w:r>
          </w:p>
        </w:tc>
        <w:tc>
          <w:tcPr>
            <w:tcW w:w="3686" w:type="dxa"/>
            <w:gridSpan w:val="3"/>
            <w:shd w:val="clear" w:color="auto" w:fill="C1F0C7" w:themeFill="accent3" w:themeFillTint="33"/>
          </w:tcPr>
          <w:p w14:paraId="41684331" w14:textId="77777777" w:rsidR="00AA2516" w:rsidRDefault="00AA2516" w:rsidP="00F62F09">
            <w:pPr>
              <w:jc w:val="center"/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Sub-specialty (if appropriate)</w:t>
            </w:r>
          </w:p>
          <w:p w14:paraId="3C26D2F3" w14:textId="4C2912A0" w:rsidR="00E82279" w:rsidRPr="00E82279" w:rsidRDefault="00E82279" w:rsidP="00E8227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82279">
              <w:rPr>
                <w:i/>
                <w:iCs/>
                <w:lang w:val="en-US"/>
              </w:rPr>
              <w:t>If General (Internal) Medicine OR General Surgery, please provide a sub-specialty</w:t>
            </w:r>
          </w:p>
        </w:tc>
      </w:tr>
      <w:tr w:rsidR="00AA2516" w14:paraId="1DB84BD5" w14:textId="77777777" w:rsidTr="00ED459B">
        <w:trPr>
          <w:trHeight w:val="122"/>
        </w:trPr>
        <w:tc>
          <w:tcPr>
            <w:tcW w:w="3397" w:type="dxa"/>
            <w:gridSpan w:val="3"/>
          </w:tcPr>
          <w:p w14:paraId="0113E488" w14:textId="13848827" w:rsidR="00AA2516" w:rsidRDefault="00F13FD2" w:rsidP="00F13FD2">
            <w:pPr>
              <w:jc w:val="center"/>
            </w:pPr>
            <w:r w:rsidRPr="00F13FD2">
              <w:t>F1</w:t>
            </w:r>
          </w:p>
          <w:p w14:paraId="6A5D2F61" w14:textId="77777777" w:rsidR="00414F83" w:rsidRDefault="00414F83"/>
        </w:tc>
        <w:tc>
          <w:tcPr>
            <w:tcW w:w="3544" w:type="dxa"/>
            <w:gridSpan w:val="3"/>
          </w:tcPr>
          <w:p w14:paraId="13EF9699" w14:textId="64EE10A3" w:rsidR="00AA2516" w:rsidRDefault="00F13FD2" w:rsidP="00F13FD2">
            <w:pPr>
              <w:jc w:val="center"/>
            </w:pPr>
            <w:r w:rsidRPr="00F13FD2">
              <w:t>Psychiatry</w:t>
            </w:r>
          </w:p>
        </w:tc>
        <w:tc>
          <w:tcPr>
            <w:tcW w:w="3686" w:type="dxa"/>
            <w:gridSpan w:val="3"/>
          </w:tcPr>
          <w:p w14:paraId="16ED03D2" w14:textId="48214174" w:rsidR="00AA2516" w:rsidRDefault="00F13FD2">
            <w:r w:rsidRPr="00F13FD2">
              <w:t>General Adult</w:t>
            </w:r>
          </w:p>
        </w:tc>
      </w:tr>
      <w:tr w:rsidR="00AA4F14" w:rsidRPr="00414F83" w14:paraId="6E1BD9E0" w14:textId="77777777" w:rsidTr="00ED459B">
        <w:trPr>
          <w:trHeight w:val="123"/>
        </w:trPr>
        <w:tc>
          <w:tcPr>
            <w:tcW w:w="5098" w:type="dxa"/>
            <w:gridSpan w:val="4"/>
            <w:shd w:val="clear" w:color="auto" w:fill="C1F0C7" w:themeFill="accent3" w:themeFillTint="33"/>
          </w:tcPr>
          <w:p w14:paraId="363D3B6F" w14:textId="50C53183" w:rsidR="00AA4F14" w:rsidRPr="00414F83" w:rsidRDefault="00AA4F14" w:rsidP="00F62F09">
            <w:pPr>
              <w:jc w:val="center"/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Trust</w:t>
            </w:r>
          </w:p>
        </w:tc>
        <w:tc>
          <w:tcPr>
            <w:tcW w:w="5529" w:type="dxa"/>
            <w:gridSpan w:val="5"/>
            <w:shd w:val="clear" w:color="auto" w:fill="C1F0C7" w:themeFill="accent3" w:themeFillTint="33"/>
          </w:tcPr>
          <w:p w14:paraId="4C26230F" w14:textId="75317C9F" w:rsidR="00AA4F14" w:rsidRPr="00414F83" w:rsidRDefault="00AA4F14" w:rsidP="00F62F09">
            <w:pPr>
              <w:jc w:val="center"/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Site</w:t>
            </w:r>
          </w:p>
        </w:tc>
      </w:tr>
      <w:tr w:rsidR="00AA4F14" w14:paraId="28DDBD94" w14:textId="77777777" w:rsidTr="0019070E">
        <w:trPr>
          <w:trHeight w:val="436"/>
        </w:trPr>
        <w:tc>
          <w:tcPr>
            <w:tcW w:w="5098" w:type="dxa"/>
            <w:gridSpan w:val="4"/>
            <w:vAlign w:val="center"/>
          </w:tcPr>
          <w:p w14:paraId="59272C78" w14:textId="3C358199" w:rsidR="00414F83" w:rsidRDefault="00F13FD2" w:rsidP="00F13FD2">
            <w:pPr>
              <w:jc w:val="center"/>
            </w:pPr>
            <w:r w:rsidRPr="00F13FD2">
              <w:t>Leicestershire Partnership NHS Trust</w:t>
            </w:r>
          </w:p>
        </w:tc>
        <w:tc>
          <w:tcPr>
            <w:tcW w:w="5529" w:type="dxa"/>
            <w:gridSpan w:val="5"/>
            <w:vAlign w:val="center"/>
          </w:tcPr>
          <w:p w14:paraId="58073DE1" w14:textId="5902AFAC" w:rsidR="00AA4F14" w:rsidRDefault="00F13FD2" w:rsidP="0019070E">
            <w:pPr>
              <w:jc w:val="center"/>
            </w:pPr>
            <w:r w:rsidRPr="00F13FD2">
              <w:t>Bradgate Mental Health Unit, Glenfield Hospital</w:t>
            </w:r>
          </w:p>
        </w:tc>
      </w:tr>
      <w:tr w:rsidR="00AA4F14" w:rsidRPr="00414F83" w14:paraId="42DAA404" w14:textId="77777777" w:rsidTr="00ED459B">
        <w:trPr>
          <w:trHeight w:val="122"/>
        </w:trPr>
        <w:tc>
          <w:tcPr>
            <w:tcW w:w="10627" w:type="dxa"/>
            <w:gridSpan w:val="9"/>
            <w:shd w:val="clear" w:color="auto" w:fill="C1F0C7" w:themeFill="accent3" w:themeFillTint="33"/>
            <w:vAlign w:val="center"/>
          </w:tcPr>
          <w:p w14:paraId="64DE6522" w14:textId="4BB12ABA" w:rsidR="00AA4F14" w:rsidRPr="00414F83" w:rsidRDefault="00AA4F14" w:rsidP="00AA4F14">
            <w:pPr>
              <w:tabs>
                <w:tab w:val="left" w:pos="8002"/>
              </w:tabs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Main Duties</w:t>
            </w:r>
            <w:r w:rsidRPr="00414F83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AA4F14" w14:paraId="65F5389A" w14:textId="77777777" w:rsidTr="0019070E">
        <w:trPr>
          <w:trHeight w:val="122"/>
        </w:trPr>
        <w:tc>
          <w:tcPr>
            <w:tcW w:w="10627" w:type="dxa"/>
            <w:gridSpan w:val="9"/>
          </w:tcPr>
          <w:p w14:paraId="6043F3E1" w14:textId="77777777" w:rsidR="00AA4F14" w:rsidRDefault="00AA4F14" w:rsidP="0019070E"/>
          <w:p w14:paraId="7185553C" w14:textId="06E49D2E" w:rsidR="00414F83" w:rsidRDefault="00F13FD2" w:rsidP="00F13FD2">
            <w:r>
              <w:t>This rotation will involve working on a general adult inpatient psychiatric ward at the Bradgate Mental Health Unit. You will have the</w:t>
            </w:r>
            <w:r>
              <w:t xml:space="preserve"> </w:t>
            </w:r>
            <w:r>
              <w:t xml:space="preserve">opportunity to work with individuals diagnosed with a range of mental disorders including depression, schizophrenia, bipolar </w:t>
            </w:r>
            <w:proofErr w:type="gramStart"/>
            <w:r>
              <w:t>disorder</w:t>
            </w:r>
            <w:proofErr w:type="gramEnd"/>
            <w:r>
              <w:t xml:space="preserve"> and</w:t>
            </w:r>
            <w:r>
              <w:t xml:space="preserve"> </w:t>
            </w:r>
            <w:r>
              <w:t xml:space="preserve">personality disorder. You will work closely with the multi-disciplinary team </w:t>
            </w:r>
            <w:proofErr w:type="gramStart"/>
            <w:r>
              <w:t>in</w:t>
            </w:r>
            <w:r>
              <w:t xml:space="preserve"> </w:t>
            </w:r>
            <w:r>
              <w:t>order to</w:t>
            </w:r>
            <w:proofErr w:type="gramEnd"/>
            <w:r>
              <w:t xml:space="preserve"> gain a comprehensive history and examination and</w:t>
            </w:r>
            <w:r>
              <w:t xml:space="preserve"> </w:t>
            </w:r>
            <w:r>
              <w:t>present this at ward rounds with views on differential diagnosis and management options. This will provide an excellent opportunity for</w:t>
            </w:r>
            <w:r>
              <w:t xml:space="preserve"> </w:t>
            </w:r>
            <w:r>
              <w:t>supervised learning events and developing your knowledge of common psychiatric conditions and their management. Risk assessments will</w:t>
            </w:r>
            <w:r>
              <w:t xml:space="preserve"> </w:t>
            </w:r>
            <w:r>
              <w:t xml:space="preserve">be an integral part of the </w:t>
            </w:r>
            <w:proofErr w:type="gramStart"/>
            <w:r>
              <w:t>job</w:t>
            </w:r>
            <w:proofErr w:type="gramEnd"/>
            <w:r>
              <w:t xml:space="preserve"> and these will be explored in detail and discussed with various professionals who are involved in patient care.</w:t>
            </w:r>
          </w:p>
          <w:p w14:paraId="2E391A6B" w14:textId="77777777" w:rsidR="00F13FD2" w:rsidRDefault="00F13FD2" w:rsidP="00F13FD2"/>
          <w:p w14:paraId="2E0DC167" w14:textId="6B5F9317" w:rsidR="00F13FD2" w:rsidRDefault="00F13FD2" w:rsidP="00F13FD2">
            <w:r w:rsidRPr="00F13FD2">
              <w:t>You will gain experience of legal aspects of mental health care, as you will be looking after patients who may be detained under the</w:t>
            </w:r>
            <w:r>
              <w:t xml:space="preserve"> </w:t>
            </w:r>
            <w:r w:rsidRPr="00F13FD2">
              <w:t>provisions of the Mental Health Act or who are being treated under the Mental Capacity Act. Experience in these areas will provide an</w:t>
            </w:r>
            <w:r>
              <w:t xml:space="preserve"> </w:t>
            </w:r>
            <w:r w:rsidRPr="00F13FD2">
              <w:t>essential understanding which can be applied to patients in all areas of medicine, developing transferrable skills regardless of your planned</w:t>
            </w:r>
            <w:r>
              <w:t xml:space="preserve"> </w:t>
            </w:r>
            <w:r w:rsidRPr="00F13FD2">
              <w:t>career aspirations.</w:t>
            </w:r>
          </w:p>
          <w:p w14:paraId="671868A1" w14:textId="77777777" w:rsidR="00F13FD2" w:rsidRDefault="00F13FD2" w:rsidP="00F13FD2"/>
          <w:p w14:paraId="060B65DE" w14:textId="1F0AC740" w:rsidR="00F13FD2" w:rsidRDefault="00F13FD2" w:rsidP="00F13FD2">
            <w:r>
              <w:t>There is ample opportunity to become involved in an audit and to develop your skills as a clinical teacher, assisting the teaching of medical</w:t>
            </w:r>
            <w:r>
              <w:t xml:space="preserve"> </w:t>
            </w:r>
            <w:r>
              <w:t>students on the ward. Where possible we will work to support additional taster sessions in other areas of psychiatry that may be of</w:t>
            </w:r>
            <w:r>
              <w:t xml:space="preserve"> </w:t>
            </w:r>
            <w:r>
              <w:t>particular interest to you during your placement.</w:t>
            </w:r>
          </w:p>
          <w:p w14:paraId="12986FF7" w14:textId="77777777" w:rsidR="00F13FD2" w:rsidRDefault="00F13FD2" w:rsidP="00F13FD2"/>
          <w:p w14:paraId="53EA4E2A" w14:textId="001E91A8" w:rsidR="00F13FD2" w:rsidRDefault="00F13FD2" w:rsidP="00F13FD2">
            <w:r>
              <w:t>In addition to this you will participate in a supernumerary on-call rota during twilight hours when they will be responsible for clerking new</w:t>
            </w:r>
            <w:r>
              <w:t xml:space="preserve"> </w:t>
            </w:r>
            <w:r>
              <w:t>patients and discussing them with a supervising doctor.</w:t>
            </w:r>
          </w:p>
          <w:p w14:paraId="6D667A76" w14:textId="77777777" w:rsidR="00F13FD2" w:rsidRDefault="00F13FD2" w:rsidP="00F13FD2"/>
          <w:p w14:paraId="1383A639" w14:textId="3C219D44" w:rsidR="00F13FD2" w:rsidRDefault="00F13FD2" w:rsidP="00F13FD2">
            <w:pPr>
              <w:rPr>
                <w:b/>
                <w:bCs/>
              </w:rPr>
            </w:pPr>
            <w:r w:rsidRPr="00FA047A">
              <w:rPr>
                <w:b/>
                <w:bCs/>
              </w:rPr>
              <w:t xml:space="preserve">By the end of the </w:t>
            </w:r>
            <w:r w:rsidRPr="00FA047A">
              <w:rPr>
                <w:b/>
                <w:bCs/>
              </w:rPr>
              <w:t>attachment,</w:t>
            </w:r>
            <w:r w:rsidRPr="00FA047A">
              <w:rPr>
                <w:b/>
                <w:bCs/>
              </w:rPr>
              <w:t xml:space="preserve"> you will be able to:</w:t>
            </w:r>
          </w:p>
          <w:p w14:paraId="5EC708FD" w14:textId="77777777" w:rsidR="00FA047A" w:rsidRPr="00FA047A" w:rsidRDefault="00FA047A" w:rsidP="00F13FD2">
            <w:pPr>
              <w:rPr>
                <w:b/>
                <w:bCs/>
              </w:rPr>
            </w:pPr>
          </w:p>
          <w:p w14:paraId="520DCEAB" w14:textId="76BE5C8C" w:rsidR="00F13FD2" w:rsidRDefault="00F13FD2" w:rsidP="00F13FD2">
            <w:pPr>
              <w:pStyle w:val="ListParagraph"/>
              <w:numPr>
                <w:ilvl w:val="0"/>
                <w:numId w:val="1"/>
              </w:numPr>
            </w:pPr>
            <w:r>
              <w:t>Take a history, perform a mental state examination, physical examination and obtain a collateral history</w:t>
            </w:r>
            <w:r>
              <w:t>.</w:t>
            </w:r>
          </w:p>
          <w:p w14:paraId="052E1928" w14:textId="77777777" w:rsidR="00F13FD2" w:rsidRDefault="00F13FD2" w:rsidP="00F13FD2">
            <w:pPr>
              <w:pStyle w:val="ListParagraph"/>
              <w:numPr>
                <w:ilvl w:val="0"/>
                <w:numId w:val="1"/>
              </w:numPr>
            </w:pPr>
            <w:r>
              <w:t xml:space="preserve">Satisfy requirements of the Foundation Curriculum. The post fulfils and maps to </w:t>
            </w:r>
            <w:proofErr w:type="gramStart"/>
            <w:r>
              <w:t>all of</w:t>
            </w:r>
            <w:proofErr w:type="gramEnd"/>
            <w:r>
              <w:t xml:space="preserve"> the 4 key sections and 18 individual</w:t>
            </w:r>
            <w:r>
              <w:t xml:space="preserve"> </w:t>
            </w:r>
            <w:r>
              <w:t>curriculum skills of the Foundation Portfolio including Professional</w:t>
            </w:r>
            <w:r>
              <w:t xml:space="preserve"> </w:t>
            </w:r>
            <w:r>
              <w:t>Behaviour, Communication, Clinical Care, Quality and Safety.</w:t>
            </w:r>
          </w:p>
          <w:p w14:paraId="5AAE0ED2" w14:textId="339B888F" w:rsidR="00F13FD2" w:rsidRDefault="00F13FD2" w:rsidP="00F13FD2">
            <w:pPr>
              <w:pStyle w:val="ListParagraph"/>
              <w:numPr>
                <w:ilvl w:val="0"/>
                <w:numId w:val="1"/>
              </w:numPr>
            </w:pPr>
            <w:r>
              <w:t xml:space="preserve">Fulfil </w:t>
            </w:r>
            <w:r>
              <w:t>workplace-based</w:t>
            </w:r>
            <w:r>
              <w:t xml:space="preserve"> assessments</w:t>
            </w:r>
            <w:r>
              <w:t>.</w:t>
            </w:r>
          </w:p>
          <w:p w14:paraId="06A608F5" w14:textId="77777777" w:rsidR="00F13FD2" w:rsidRDefault="00F13FD2" w:rsidP="00F13FD2">
            <w:pPr>
              <w:pStyle w:val="ListParagraph"/>
              <w:numPr>
                <w:ilvl w:val="0"/>
                <w:numId w:val="1"/>
              </w:numPr>
            </w:pPr>
            <w:r>
              <w:t>Fulfil your Intended Learning Objectives for the foundation programme.</w:t>
            </w:r>
          </w:p>
          <w:p w14:paraId="7B765E79" w14:textId="77777777" w:rsidR="00F13FD2" w:rsidRDefault="00F13FD2" w:rsidP="00F13FD2">
            <w:pPr>
              <w:pStyle w:val="ListParagraph"/>
              <w:numPr>
                <w:ilvl w:val="0"/>
                <w:numId w:val="1"/>
              </w:numPr>
            </w:pPr>
            <w:r>
              <w:t>Gain exposure to the management of common acute psychiatric conditions</w:t>
            </w:r>
            <w:r>
              <w:t>.</w:t>
            </w:r>
          </w:p>
          <w:p w14:paraId="3CD37A44" w14:textId="77777777" w:rsidR="00F13FD2" w:rsidRDefault="00F13FD2" w:rsidP="00F13FD2">
            <w:pPr>
              <w:pStyle w:val="ListParagraph"/>
              <w:numPr>
                <w:ilvl w:val="0"/>
                <w:numId w:val="1"/>
              </w:numPr>
            </w:pPr>
            <w:r>
              <w:t>Have developed the skills needed to ensure effective communication, attention to confidentiality and consent issues</w:t>
            </w:r>
            <w:r>
              <w:t>.</w:t>
            </w:r>
          </w:p>
          <w:p w14:paraId="68A09875" w14:textId="18064491" w:rsidR="00F13FD2" w:rsidRDefault="00F13FD2" w:rsidP="00F13FD2">
            <w:pPr>
              <w:pStyle w:val="ListParagraph"/>
              <w:numPr>
                <w:ilvl w:val="0"/>
                <w:numId w:val="1"/>
              </w:numPr>
            </w:pPr>
            <w:r>
              <w:t>Have developed skills of team working, time management and prioritisation</w:t>
            </w:r>
            <w:r>
              <w:t>.</w:t>
            </w:r>
          </w:p>
          <w:p w14:paraId="17F8DCE2" w14:textId="77777777" w:rsidR="00F13FD2" w:rsidRDefault="00F13FD2" w:rsidP="00F13FD2"/>
          <w:p w14:paraId="331D6A17" w14:textId="77777777" w:rsidR="00414F83" w:rsidRDefault="00414F83" w:rsidP="0019070E"/>
          <w:p w14:paraId="2627F52B" w14:textId="77777777" w:rsidR="00414F83" w:rsidRDefault="00414F83" w:rsidP="0019070E"/>
        </w:tc>
      </w:tr>
      <w:tr w:rsidR="004B64FC" w:rsidRPr="00414F83" w14:paraId="628B4B8D" w14:textId="77777777" w:rsidTr="00ED459B">
        <w:trPr>
          <w:trHeight w:val="122"/>
        </w:trPr>
        <w:tc>
          <w:tcPr>
            <w:tcW w:w="10627" w:type="dxa"/>
            <w:gridSpan w:val="9"/>
            <w:shd w:val="clear" w:color="auto" w:fill="C1F0C7" w:themeFill="accent3" w:themeFillTint="33"/>
            <w:vAlign w:val="center"/>
          </w:tcPr>
          <w:p w14:paraId="05993B79" w14:textId="520EF443" w:rsidR="004B64FC" w:rsidRPr="00414F83" w:rsidRDefault="004B64FC" w:rsidP="00AA4F14">
            <w:pPr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lastRenderedPageBreak/>
              <w:t>Example Timetable</w:t>
            </w:r>
          </w:p>
        </w:tc>
      </w:tr>
      <w:tr w:rsidR="004B64FC" w:rsidRPr="00414F83" w14:paraId="1992CB50" w14:textId="77777777" w:rsidTr="00ED459B">
        <w:trPr>
          <w:trHeight w:val="122"/>
        </w:trPr>
        <w:tc>
          <w:tcPr>
            <w:tcW w:w="10627" w:type="dxa"/>
            <w:gridSpan w:val="9"/>
            <w:shd w:val="clear" w:color="auto" w:fill="C1F0C7" w:themeFill="accent3" w:themeFillTint="33"/>
            <w:vAlign w:val="center"/>
          </w:tcPr>
          <w:p w14:paraId="1EFE370E" w14:textId="5978B9D4" w:rsidR="004B64FC" w:rsidRPr="00414F83" w:rsidRDefault="00B400E1" w:rsidP="00AA4F14">
            <w:pPr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  <w:lang w:val="en-US"/>
              </w:rPr>
              <w:t>For example: W/R (Outpatients), MDT, Meetings, X-Ray Conference etc.</w:t>
            </w:r>
          </w:p>
        </w:tc>
      </w:tr>
      <w:tr w:rsidR="00B400E1" w:rsidRPr="00B400E1" w14:paraId="6BC91EF7" w14:textId="77777777" w:rsidTr="00414F83">
        <w:trPr>
          <w:trHeight w:val="92"/>
        </w:trPr>
        <w:tc>
          <w:tcPr>
            <w:tcW w:w="1502" w:type="dxa"/>
            <w:vAlign w:val="center"/>
          </w:tcPr>
          <w:p w14:paraId="452929D7" w14:textId="77777777" w:rsidR="00B400E1" w:rsidRPr="00B400E1" w:rsidRDefault="00B400E1" w:rsidP="00AA4F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auto" w:fill="FFC000"/>
            <w:vAlign w:val="center"/>
          </w:tcPr>
          <w:p w14:paraId="57370807" w14:textId="4B3D2F6E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Mon</w:t>
            </w:r>
          </w:p>
        </w:tc>
        <w:tc>
          <w:tcPr>
            <w:tcW w:w="1825" w:type="dxa"/>
            <w:gridSpan w:val="3"/>
            <w:shd w:val="clear" w:color="auto" w:fill="FFC000"/>
            <w:vAlign w:val="center"/>
          </w:tcPr>
          <w:p w14:paraId="753BD619" w14:textId="31B011AC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Tues</w:t>
            </w:r>
          </w:p>
        </w:tc>
        <w:tc>
          <w:tcPr>
            <w:tcW w:w="1825" w:type="dxa"/>
            <w:gridSpan w:val="2"/>
            <w:shd w:val="clear" w:color="auto" w:fill="FFC000"/>
            <w:vAlign w:val="center"/>
          </w:tcPr>
          <w:p w14:paraId="139169F5" w14:textId="66BE844D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Weds</w:t>
            </w:r>
          </w:p>
        </w:tc>
        <w:tc>
          <w:tcPr>
            <w:tcW w:w="1825" w:type="dxa"/>
            <w:shd w:val="clear" w:color="auto" w:fill="FFC000"/>
            <w:vAlign w:val="center"/>
          </w:tcPr>
          <w:p w14:paraId="4C9A8CA2" w14:textId="37EC474D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Thurs</w:t>
            </w:r>
          </w:p>
        </w:tc>
        <w:tc>
          <w:tcPr>
            <w:tcW w:w="1825" w:type="dxa"/>
            <w:shd w:val="clear" w:color="auto" w:fill="FFC000"/>
            <w:vAlign w:val="center"/>
          </w:tcPr>
          <w:p w14:paraId="044BD222" w14:textId="7977253E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Fri</w:t>
            </w:r>
          </w:p>
        </w:tc>
      </w:tr>
      <w:tr w:rsidR="00B400E1" w:rsidRPr="00B400E1" w14:paraId="22EEE590" w14:textId="77777777" w:rsidTr="00920112">
        <w:trPr>
          <w:trHeight w:val="90"/>
        </w:trPr>
        <w:tc>
          <w:tcPr>
            <w:tcW w:w="1502" w:type="dxa"/>
            <w:shd w:val="clear" w:color="auto" w:fill="FFC000"/>
            <w:vAlign w:val="center"/>
          </w:tcPr>
          <w:p w14:paraId="47506226" w14:textId="6E9636DB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AM</w:t>
            </w:r>
          </w:p>
        </w:tc>
        <w:tc>
          <w:tcPr>
            <w:tcW w:w="1825" w:type="dxa"/>
            <w:vAlign w:val="center"/>
          </w:tcPr>
          <w:p w14:paraId="15D31FB8" w14:textId="77777777" w:rsidR="00F13FD2" w:rsidRPr="00F13FD2" w:rsidRDefault="00F13FD2" w:rsidP="00F13FD2">
            <w:pPr>
              <w:spacing w:after="0" w:line="240" w:lineRule="auto"/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9 AM Board Round</w:t>
            </w:r>
          </w:p>
          <w:p w14:paraId="71D21515" w14:textId="5F749202" w:rsidR="00B400E1" w:rsidRPr="0019070E" w:rsidRDefault="00F13FD2" w:rsidP="00F13FD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Clinical work</w:t>
            </w:r>
          </w:p>
        </w:tc>
        <w:tc>
          <w:tcPr>
            <w:tcW w:w="1825" w:type="dxa"/>
            <w:gridSpan w:val="3"/>
            <w:vAlign w:val="center"/>
          </w:tcPr>
          <w:p w14:paraId="7FAD20D3" w14:textId="77777777" w:rsidR="00F13FD2" w:rsidRPr="00F13FD2" w:rsidRDefault="00F13FD2" w:rsidP="00F13FD2">
            <w:pPr>
              <w:spacing w:after="0" w:line="240" w:lineRule="auto"/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9 AM Board Round</w:t>
            </w:r>
          </w:p>
          <w:p w14:paraId="237FB932" w14:textId="2FD1393D" w:rsidR="00B400E1" w:rsidRPr="0019070E" w:rsidRDefault="00F13FD2" w:rsidP="00F13FD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Ward Round MDT</w:t>
            </w:r>
          </w:p>
        </w:tc>
        <w:tc>
          <w:tcPr>
            <w:tcW w:w="1825" w:type="dxa"/>
            <w:gridSpan w:val="2"/>
            <w:vAlign w:val="center"/>
          </w:tcPr>
          <w:p w14:paraId="5DE305D3" w14:textId="77777777" w:rsidR="00F13FD2" w:rsidRPr="00F13FD2" w:rsidRDefault="00F13FD2" w:rsidP="00F13FD2">
            <w:pPr>
              <w:spacing w:after="0" w:line="240" w:lineRule="auto"/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9 AM Board Round</w:t>
            </w:r>
          </w:p>
          <w:p w14:paraId="75F082A9" w14:textId="69634A17" w:rsidR="00B400E1" w:rsidRPr="0019070E" w:rsidRDefault="00F13FD2" w:rsidP="00F13FD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Ward Round MDT</w:t>
            </w:r>
          </w:p>
        </w:tc>
        <w:tc>
          <w:tcPr>
            <w:tcW w:w="1825" w:type="dxa"/>
            <w:vAlign w:val="center"/>
          </w:tcPr>
          <w:p w14:paraId="67C55957" w14:textId="77777777" w:rsidR="00F13FD2" w:rsidRPr="00F13FD2" w:rsidRDefault="00F13FD2" w:rsidP="00F13FD2">
            <w:pPr>
              <w:spacing w:after="0" w:line="240" w:lineRule="auto"/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9 AM Board Round</w:t>
            </w:r>
          </w:p>
          <w:p w14:paraId="26D182E2" w14:textId="190156CB" w:rsidR="00B400E1" w:rsidRPr="0019070E" w:rsidRDefault="00F13FD2" w:rsidP="00F13FD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Clinical work</w:t>
            </w:r>
          </w:p>
        </w:tc>
        <w:tc>
          <w:tcPr>
            <w:tcW w:w="1825" w:type="dxa"/>
            <w:vAlign w:val="center"/>
          </w:tcPr>
          <w:p w14:paraId="1939771A" w14:textId="77777777" w:rsidR="00F13FD2" w:rsidRPr="00F13FD2" w:rsidRDefault="00F13FD2" w:rsidP="00F13FD2">
            <w:pPr>
              <w:spacing w:after="0" w:line="240" w:lineRule="auto"/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9 AM Board Round</w:t>
            </w:r>
          </w:p>
          <w:p w14:paraId="4C9AE89A" w14:textId="77777777" w:rsidR="00F13FD2" w:rsidRPr="00F13FD2" w:rsidRDefault="00F13FD2" w:rsidP="00F13FD2">
            <w:pPr>
              <w:spacing w:after="0" w:line="240" w:lineRule="auto"/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Clinical work</w:t>
            </w:r>
          </w:p>
          <w:p w14:paraId="6DDA32B6" w14:textId="77777777" w:rsidR="00F13FD2" w:rsidRPr="00F13FD2" w:rsidRDefault="00F13FD2" w:rsidP="00F13FD2">
            <w:pPr>
              <w:spacing w:after="0" w:line="240" w:lineRule="auto"/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11:30 Journal Club/Case</w:t>
            </w:r>
          </w:p>
          <w:p w14:paraId="4145843D" w14:textId="66D856FE" w:rsidR="00B400E1" w:rsidRPr="0019070E" w:rsidRDefault="00F13FD2" w:rsidP="00F13FD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Presentation</w:t>
            </w:r>
          </w:p>
        </w:tc>
      </w:tr>
      <w:tr w:rsidR="00B400E1" w:rsidRPr="00B400E1" w14:paraId="3A29B13D" w14:textId="77777777" w:rsidTr="00920112">
        <w:trPr>
          <w:trHeight w:val="90"/>
        </w:trPr>
        <w:tc>
          <w:tcPr>
            <w:tcW w:w="1502" w:type="dxa"/>
            <w:shd w:val="clear" w:color="auto" w:fill="FFC000"/>
            <w:vAlign w:val="center"/>
          </w:tcPr>
          <w:p w14:paraId="5EBAED90" w14:textId="31253D87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Lunchtime</w:t>
            </w:r>
          </w:p>
        </w:tc>
        <w:tc>
          <w:tcPr>
            <w:tcW w:w="1825" w:type="dxa"/>
            <w:vAlign w:val="center"/>
          </w:tcPr>
          <w:p w14:paraId="4438905E" w14:textId="77777777" w:rsidR="00B400E1" w:rsidRPr="0019070E" w:rsidRDefault="00B400E1" w:rsidP="00920112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90744EF" w14:textId="5C717DA8" w:rsidR="00B400E1" w:rsidRPr="0019070E" w:rsidRDefault="00F13FD2" w:rsidP="0092011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Ward based teaching</w:t>
            </w:r>
          </w:p>
        </w:tc>
        <w:tc>
          <w:tcPr>
            <w:tcW w:w="1825" w:type="dxa"/>
            <w:gridSpan w:val="2"/>
            <w:vAlign w:val="center"/>
          </w:tcPr>
          <w:p w14:paraId="36EC560C" w14:textId="41E5F0AB" w:rsidR="00B400E1" w:rsidRPr="0019070E" w:rsidRDefault="00F13FD2" w:rsidP="0092011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F1 teaching</w:t>
            </w:r>
          </w:p>
        </w:tc>
        <w:tc>
          <w:tcPr>
            <w:tcW w:w="1825" w:type="dxa"/>
            <w:vAlign w:val="center"/>
          </w:tcPr>
          <w:p w14:paraId="23ADE04E" w14:textId="77777777" w:rsidR="00B400E1" w:rsidRPr="0019070E" w:rsidRDefault="00B400E1" w:rsidP="00920112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41E99C9B" w14:textId="4FA866BE" w:rsidR="00B400E1" w:rsidRPr="0019070E" w:rsidRDefault="00F13FD2" w:rsidP="0092011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Postgraduate Teaching</w:t>
            </w:r>
          </w:p>
        </w:tc>
      </w:tr>
      <w:tr w:rsidR="00B400E1" w:rsidRPr="00B400E1" w14:paraId="46E34E3F" w14:textId="77777777" w:rsidTr="00920112">
        <w:trPr>
          <w:trHeight w:val="90"/>
        </w:trPr>
        <w:tc>
          <w:tcPr>
            <w:tcW w:w="1502" w:type="dxa"/>
            <w:shd w:val="clear" w:color="auto" w:fill="FFC000"/>
            <w:vAlign w:val="center"/>
          </w:tcPr>
          <w:p w14:paraId="4881E41F" w14:textId="74267327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PM</w:t>
            </w:r>
          </w:p>
        </w:tc>
        <w:tc>
          <w:tcPr>
            <w:tcW w:w="1825" w:type="dxa"/>
            <w:vAlign w:val="center"/>
          </w:tcPr>
          <w:p w14:paraId="00F898BE" w14:textId="77777777" w:rsidR="00F13FD2" w:rsidRPr="00F13FD2" w:rsidRDefault="00F13FD2" w:rsidP="00F13FD2">
            <w:pPr>
              <w:spacing w:after="0" w:line="240" w:lineRule="auto"/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Clinical work</w:t>
            </w:r>
          </w:p>
          <w:p w14:paraId="3A195FB0" w14:textId="5C0854B0" w:rsidR="00B400E1" w:rsidRPr="0019070E" w:rsidRDefault="00F13FD2" w:rsidP="00F13FD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Clinical supervision</w:t>
            </w:r>
          </w:p>
        </w:tc>
        <w:tc>
          <w:tcPr>
            <w:tcW w:w="1825" w:type="dxa"/>
            <w:gridSpan w:val="3"/>
            <w:vAlign w:val="center"/>
          </w:tcPr>
          <w:p w14:paraId="7A78C863" w14:textId="4F736937" w:rsidR="00B400E1" w:rsidRPr="0019070E" w:rsidRDefault="00F13FD2" w:rsidP="0092011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Ward Round MDT</w:t>
            </w:r>
          </w:p>
        </w:tc>
        <w:tc>
          <w:tcPr>
            <w:tcW w:w="1825" w:type="dxa"/>
            <w:gridSpan w:val="2"/>
            <w:vAlign w:val="center"/>
          </w:tcPr>
          <w:p w14:paraId="06AC7BEC" w14:textId="6A24ECFE" w:rsidR="00B400E1" w:rsidRPr="0019070E" w:rsidRDefault="00F13FD2" w:rsidP="0092011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Clinical work</w:t>
            </w:r>
          </w:p>
        </w:tc>
        <w:tc>
          <w:tcPr>
            <w:tcW w:w="1825" w:type="dxa"/>
            <w:vAlign w:val="center"/>
          </w:tcPr>
          <w:p w14:paraId="221ACD40" w14:textId="625A616A" w:rsidR="00B400E1" w:rsidRPr="0019070E" w:rsidRDefault="00F13FD2" w:rsidP="0092011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Audit/research</w:t>
            </w:r>
          </w:p>
        </w:tc>
        <w:tc>
          <w:tcPr>
            <w:tcW w:w="1825" w:type="dxa"/>
            <w:vAlign w:val="center"/>
          </w:tcPr>
          <w:p w14:paraId="7940D2C8" w14:textId="068FF3D2" w:rsidR="00B400E1" w:rsidRPr="0019070E" w:rsidRDefault="00F13FD2" w:rsidP="00920112">
            <w:pPr>
              <w:jc w:val="center"/>
              <w:rPr>
                <w:lang w:val="en-US"/>
              </w:rPr>
            </w:pPr>
            <w:r w:rsidRPr="00F13FD2">
              <w:rPr>
                <w:lang w:val="en-US"/>
              </w:rPr>
              <w:t>Clinical work</w:t>
            </w:r>
          </w:p>
        </w:tc>
      </w:tr>
      <w:tr w:rsidR="008229C7" w:rsidRPr="00414F83" w14:paraId="4A6611C0" w14:textId="77777777" w:rsidTr="00414F83">
        <w:trPr>
          <w:trHeight w:val="90"/>
        </w:trPr>
        <w:tc>
          <w:tcPr>
            <w:tcW w:w="10627" w:type="dxa"/>
            <w:gridSpan w:val="9"/>
            <w:shd w:val="clear" w:color="auto" w:fill="C1F0C7" w:themeFill="accent3" w:themeFillTint="33"/>
            <w:vAlign w:val="center"/>
          </w:tcPr>
          <w:p w14:paraId="4BEFD25D" w14:textId="5FDD68CA" w:rsidR="008229C7" w:rsidRPr="00414F83" w:rsidRDefault="008229C7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14F83">
              <w:rPr>
                <w:b/>
                <w:bCs/>
                <w:sz w:val="24"/>
                <w:szCs w:val="24"/>
                <w:lang w:val="en-US"/>
              </w:rPr>
              <w:t>Educational Activities:</w:t>
            </w:r>
          </w:p>
        </w:tc>
      </w:tr>
      <w:tr w:rsidR="008229C7" w:rsidRPr="00B400E1" w14:paraId="3E34C669" w14:textId="77777777" w:rsidTr="0019070E">
        <w:trPr>
          <w:trHeight w:val="90"/>
        </w:trPr>
        <w:tc>
          <w:tcPr>
            <w:tcW w:w="10627" w:type="dxa"/>
            <w:gridSpan w:val="9"/>
          </w:tcPr>
          <w:p w14:paraId="19F10956" w14:textId="232392EA" w:rsidR="008229C7" w:rsidRDefault="00F13FD2" w:rsidP="00F13FD2">
            <w:pPr>
              <w:rPr>
                <w:sz w:val="24"/>
                <w:szCs w:val="24"/>
                <w:lang w:val="en-US"/>
              </w:rPr>
            </w:pPr>
            <w:r w:rsidRPr="00F13FD2">
              <w:rPr>
                <w:sz w:val="24"/>
                <w:szCs w:val="24"/>
                <w:lang w:val="en-US"/>
              </w:rPr>
              <w:t>Leicestershire Partnership NHS Trust places a keen focus on the education and training of junior doctors. F1 doctors will be able to attend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13FD2">
              <w:rPr>
                <w:sz w:val="24"/>
                <w:szCs w:val="24"/>
                <w:lang w:val="en-US"/>
              </w:rPr>
              <w:t>their weekly F1 teaching. You can also access the Friday lunchtime teaching at the Bradgate nit. All trainee doctors working in psychiatry</w:t>
            </w:r>
            <w:r w:rsidR="00FA047A">
              <w:rPr>
                <w:sz w:val="24"/>
                <w:szCs w:val="24"/>
                <w:lang w:val="en-US"/>
              </w:rPr>
              <w:t xml:space="preserve"> </w:t>
            </w:r>
            <w:r w:rsidRPr="00F13FD2">
              <w:rPr>
                <w:sz w:val="24"/>
                <w:szCs w:val="24"/>
                <w:lang w:val="en-US"/>
              </w:rPr>
              <w:t>have one hour of one-to one protected clinical supervision a week from their consultant, in addition to ongoing supervision of ward work.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13FD2">
              <w:rPr>
                <w:sz w:val="24"/>
                <w:szCs w:val="24"/>
                <w:lang w:val="en-US"/>
              </w:rPr>
              <w:t>You will be able to access other training within LPT including</w:t>
            </w:r>
            <w:r w:rsidR="00FA047A">
              <w:rPr>
                <w:sz w:val="24"/>
                <w:szCs w:val="24"/>
                <w:lang w:val="en-US"/>
              </w:rPr>
              <w:t xml:space="preserve"> </w:t>
            </w:r>
            <w:r w:rsidRPr="00F13FD2">
              <w:rPr>
                <w:sz w:val="24"/>
                <w:szCs w:val="24"/>
                <w:lang w:val="en-US"/>
              </w:rPr>
              <w:t>disengagement skills, ILS, Mental Capacity Act etc. You will be encouraged to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13FD2">
              <w:rPr>
                <w:sz w:val="24"/>
                <w:szCs w:val="24"/>
                <w:lang w:val="en-US"/>
              </w:rPr>
              <w:t>undertake an audit or QI project and consider working this up for a poster at a local or national conference.</w:t>
            </w:r>
          </w:p>
          <w:p w14:paraId="49074EBB" w14:textId="77777777" w:rsidR="00414F83" w:rsidRDefault="00414F83" w:rsidP="0019070E">
            <w:pPr>
              <w:rPr>
                <w:sz w:val="24"/>
                <w:szCs w:val="24"/>
                <w:lang w:val="en-US"/>
              </w:rPr>
            </w:pPr>
          </w:p>
          <w:p w14:paraId="7783DDB1" w14:textId="0ED4C5DF" w:rsidR="00414F83" w:rsidRPr="00FA047A" w:rsidRDefault="00F13FD2" w:rsidP="001907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A047A">
              <w:rPr>
                <w:b/>
                <w:bCs/>
                <w:sz w:val="24"/>
                <w:szCs w:val="24"/>
                <w:lang w:val="en-US"/>
              </w:rPr>
              <w:t>Generic Learning outcomes you will be able to achieve in this job:</w:t>
            </w:r>
          </w:p>
          <w:p w14:paraId="398A6B49" w14:textId="77777777" w:rsidR="00FA047A" w:rsidRDefault="00FA047A" w:rsidP="0019070E">
            <w:pPr>
              <w:rPr>
                <w:sz w:val="24"/>
                <w:szCs w:val="24"/>
                <w:lang w:val="en-US"/>
              </w:rPr>
            </w:pPr>
          </w:p>
          <w:p w14:paraId="701DC128" w14:textId="77777777" w:rsidR="00F13FD2" w:rsidRDefault="00F13FD2" w:rsidP="00F13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13FD2">
              <w:rPr>
                <w:sz w:val="24"/>
                <w:szCs w:val="24"/>
                <w:lang w:val="en-US"/>
              </w:rPr>
              <w:t xml:space="preserve">Professional </w:t>
            </w:r>
            <w:proofErr w:type="spellStart"/>
            <w:r w:rsidRPr="00F13FD2">
              <w:rPr>
                <w:sz w:val="24"/>
                <w:szCs w:val="24"/>
                <w:lang w:val="en-US"/>
              </w:rPr>
              <w:t>Behaviour</w:t>
            </w:r>
            <w:proofErr w:type="spellEnd"/>
            <w:r w:rsidRPr="00F13FD2">
              <w:rPr>
                <w:sz w:val="24"/>
                <w:szCs w:val="24"/>
                <w:lang w:val="en-US"/>
              </w:rPr>
              <w:t xml:space="preserve"> &amp; Trust: Act professionally; deliver patient </w:t>
            </w:r>
            <w:proofErr w:type="spellStart"/>
            <w:r w:rsidRPr="00F13FD2">
              <w:rPr>
                <w:sz w:val="24"/>
                <w:szCs w:val="24"/>
                <w:lang w:val="en-US"/>
              </w:rPr>
              <w:t>centred</w:t>
            </w:r>
            <w:proofErr w:type="spellEnd"/>
            <w:r w:rsidRPr="00F13FD2">
              <w:rPr>
                <w:sz w:val="24"/>
                <w:szCs w:val="24"/>
                <w:lang w:val="en-US"/>
              </w:rPr>
              <w:t xml:space="preserve"> care and maintain trust; behave in accordance with ethical &amp;</w:t>
            </w:r>
            <w:r w:rsidRPr="00F13FD2">
              <w:rPr>
                <w:sz w:val="24"/>
                <w:szCs w:val="24"/>
                <w:lang w:val="en-US"/>
              </w:rPr>
              <w:t xml:space="preserve"> </w:t>
            </w:r>
            <w:r w:rsidRPr="00F13FD2">
              <w:rPr>
                <w:sz w:val="24"/>
                <w:szCs w:val="24"/>
                <w:lang w:val="en-US"/>
              </w:rPr>
              <w:t>legal requirements; keeps practice up to date through learning and teaching; demonstrate engagement in career planning.</w:t>
            </w:r>
          </w:p>
          <w:p w14:paraId="12C2110D" w14:textId="77777777" w:rsidR="00F13FD2" w:rsidRDefault="00F13FD2" w:rsidP="00F13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13FD2">
              <w:rPr>
                <w:sz w:val="24"/>
                <w:szCs w:val="24"/>
                <w:lang w:val="en-US"/>
              </w:rPr>
              <w:t>Communication, team working and Leadership: Communicate clearly in a variety of settings; work effectively as a team member;</w:t>
            </w:r>
            <w:r w:rsidRPr="00F13FD2">
              <w:rPr>
                <w:sz w:val="24"/>
                <w:szCs w:val="24"/>
                <w:lang w:val="en-US"/>
              </w:rPr>
              <w:t xml:space="preserve"> </w:t>
            </w:r>
            <w:r w:rsidRPr="00F13FD2">
              <w:rPr>
                <w:sz w:val="24"/>
                <w:szCs w:val="24"/>
                <w:lang w:val="en-US"/>
              </w:rPr>
              <w:t>demonstrate leadership skills.</w:t>
            </w:r>
          </w:p>
          <w:p w14:paraId="4444C79D" w14:textId="77777777" w:rsidR="00FA047A" w:rsidRDefault="00F13FD2" w:rsidP="00F13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13FD2">
              <w:rPr>
                <w:sz w:val="24"/>
                <w:szCs w:val="24"/>
                <w:lang w:val="en-US"/>
              </w:rPr>
              <w:t xml:space="preserve">Clinical Care: </w:t>
            </w:r>
            <w:proofErr w:type="spellStart"/>
            <w:r w:rsidRPr="00F13FD2">
              <w:rPr>
                <w:sz w:val="24"/>
                <w:szCs w:val="24"/>
                <w:lang w:val="en-US"/>
              </w:rPr>
              <w:t>Recognise</w:t>
            </w:r>
            <w:proofErr w:type="spellEnd"/>
            <w:r w:rsidRPr="00F13FD2">
              <w:rPr>
                <w:sz w:val="24"/>
                <w:szCs w:val="24"/>
                <w:lang w:val="en-US"/>
              </w:rPr>
              <w:t xml:space="preserve">, assess and initiate manage the acutely ill patient; </w:t>
            </w:r>
            <w:proofErr w:type="spellStart"/>
            <w:r w:rsidRPr="00F13FD2">
              <w:rPr>
                <w:sz w:val="24"/>
                <w:szCs w:val="24"/>
                <w:lang w:val="en-US"/>
              </w:rPr>
              <w:t>recognise</w:t>
            </w:r>
            <w:proofErr w:type="spellEnd"/>
            <w:r w:rsidRPr="00F13FD2"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F13FD2">
              <w:rPr>
                <w:sz w:val="24"/>
                <w:szCs w:val="24"/>
                <w:lang w:val="en-US"/>
              </w:rPr>
              <w:t>assesses</w:t>
            </w:r>
            <w:proofErr w:type="gramEnd"/>
            <w:r w:rsidRPr="00F13FD2">
              <w:rPr>
                <w:sz w:val="24"/>
                <w:szCs w:val="24"/>
                <w:lang w:val="en-US"/>
              </w:rPr>
              <w:t xml:space="preserve"> and manage patients with long term</w:t>
            </w:r>
            <w:r w:rsidRPr="00F13FD2">
              <w:rPr>
                <w:sz w:val="24"/>
                <w:szCs w:val="24"/>
                <w:lang w:val="en-US"/>
              </w:rPr>
              <w:t xml:space="preserve"> </w:t>
            </w:r>
            <w:r w:rsidRPr="00F13FD2">
              <w:rPr>
                <w:sz w:val="24"/>
                <w:szCs w:val="24"/>
                <w:lang w:val="en-US"/>
              </w:rPr>
              <w:t>conditions; obtain history, perform clinical examination, formulate differential diagnosis and management plans; request relevant</w:t>
            </w:r>
            <w:r w:rsidR="00FA047A">
              <w:rPr>
                <w:sz w:val="24"/>
                <w:szCs w:val="24"/>
                <w:lang w:val="en-US"/>
              </w:rPr>
              <w:t xml:space="preserve"> </w:t>
            </w:r>
            <w:r w:rsidRPr="00FA047A">
              <w:rPr>
                <w:sz w:val="24"/>
                <w:szCs w:val="24"/>
                <w:lang w:val="en-US"/>
              </w:rPr>
              <w:t>investigations and act upon results; prescribe safely; perform procedures safely; demonstrate</w:t>
            </w:r>
            <w:r w:rsidRPr="00FA047A">
              <w:rPr>
                <w:sz w:val="24"/>
                <w:szCs w:val="24"/>
                <w:lang w:val="en-US"/>
              </w:rPr>
              <w:t xml:space="preserve"> </w:t>
            </w:r>
            <w:r w:rsidRPr="00FA047A">
              <w:rPr>
                <w:sz w:val="24"/>
                <w:szCs w:val="24"/>
                <w:lang w:val="en-US"/>
              </w:rPr>
              <w:t>understanding of the principles of health</w:t>
            </w:r>
            <w:r w:rsidR="00FA047A">
              <w:rPr>
                <w:sz w:val="24"/>
                <w:szCs w:val="24"/>
                <w:lang w:val="en-US"/>
              </w:rPr>
              <w:t xml:space="preserve"> </w:t>
            </w:r>
            <w:r w:rsidRPr="00FA047A">
              <w:rPr>
                <w:sz w:val="24"/>
                <w:szCs w:val="24"/>
                <w:lang w:val="en-US"/>
              </w:rPr>
              <w:t>promotion and illness prevention; manage palliative and end of life care.</w:t>
            </w:r>
          </w:p>
          <w:p w14:paraId="0C075B3A" w14:textId="0D81B68C" w:rsidR="00F13FD2" w:rsidRPr="00FA047A" w:rsidRDefault="00F13FD2" w:rsidP="00F13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A047A">
              <w:rPr>
                <w:sz w:val="24"/>
                <w:szCs w:val="24"/>
                <w:lang w:val="en-US"/>
              </w:rPr>
              <w:t xml:space="preserve"> Safety and Quality: </w:t>
            </w:r>
            <w:proofErr w:type="spellStart"/>
            <w:r w:rsidRPr="00FA047A">
              <w:rPr>
                <w:sz w:val="24"/>
                <w:szCs w:val="24"/>
                <w:lang w:val="en-US"/>
              </w:rPr>
              <w:t>Recognise</w:t>
            </w:r>
            <w:proofErr w:type="spellEnd"/>
            <w:r w:rsidRPr="00FA047A">
              <w:rPr>
                <w:sz w:val="24"/>
                <w:szCs w:val="24"/>
                <w:lang w:val="en-US"/>
              </w:rPr>
              <w:t xml:space="preserve"> and work within limits of personal competence; make patient safety a priority in clinical practice;</w:t>
            </w:r>
            <w:r w:rsidRPr="00FA047A">
              <w:rPr>
                <w:sz w:val="24"/>
                <w:szCs w:val="24"/>
                <w:lang w:val="en-US"/>
              </w:rPr>
              <w:t xml:space="preserve"> </w:t>
            </w:r>
            <w:r w:rsidRPr="00FA047A">
              <w:rPr>
                <w:sz w:val="24"/>
                <w:szCs w:val="24"/>
                <w:lang w:val="en-US"/>
              </w:rPr>
              <w:t>contribute to quality improvement.</w:t>
            </w:r>
          </w:p>
          <w:p w14:paraId="6B6D29E2" w14:textId="77777777" w:rsidR="00414F83" w:rsidRDefault="00414F83" w:rsidP="0019070E">
            <w:pPr>
              <w:rPr>
                <w:sz w:val="24"/>
                <w:szCs w:val="24"/>
                <w:lang w:val="en-US"/>
              </w:rPr>
            </w:pPr>
          </w:p>
          <w:p w14:paraId="73E89F50" w14:textId="77777777" w:rsidR="00414F83" w:rsidRPr="00B400E1" w:rsidRDefault="00414F83" w:rsidP="0019070E">
            <w:pPr>
              <w:rPr>
                <w:sz w:val="24"/>
                <w:szCs w:val="24"/>
                <w:lang w:val="en-US"/>
              </w:rPr>
            </w:pPr>
          </w:p>
        </w:tc>
      </w:tr>
      <w:tr w:rsidR="008229C7" w:rsidRPr="00414F83" w14:paraId="6ABD4C68" w14:textId="77777777" w:rsidTr="00414F83">
        <w:trPr>
          <w:trHeight w:val="90"/>
        </w:trPr>
        <w:tc>
          <w:tcPr>
            <w:tcW w:w="10627" w:type="dxa"/>
            <w:gridSpan w:val="9"/>
            <w:shd w:val="clear" w:color="auto" w:fill="C1F0C7" w:themeFill="accent3" w:themeFillTint="33"/>
            <w:vAlign w:val="center"/>
          </w:tcPr>
          <w:p w14:paraId="30168371" w14:textId="33ADECBC" w:rsidR="008229C7" w:rsidRPr="00414F83" w:rsidRDefault="008229C7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14F83">
              <w:rPr>
                <w:b/>
                <w:bCs/>
                <w:sz w:val="24"/>
                <w:szCs w:val="24"/>
                <w:lang w:val="en-US"/>
              </w:rPr>
              <w:t>Other Comments (if appropriate):</w:t>
            </w:r>
          </w:p>
        </w:tc>
      </w:tr>
      <w:tr w:rsidR="008229C7" w:rsidRPr="00B400E1" w14:paraId="3960310A" w14:textId="77777777" w:rsidTr="0019070E">
        <w:trPr>
          <w:trHeight w:val="90"/>
        </w:trPr>
        <w:tc>
          <w:tcPr>
            <w:tcW w:w="10627" w:type="dxa"/>
            <w:gridSpan w:val="9"/>
          </w:tcPr>
          <w:p w14:paraId="58D67521" w14:textId="77777777" w:rsidR="00414F83" w:rsidRDefault="00414F83" w:rsidP="0019070E">
            <w:pPr>
              <w:rPr>
                <w:sz w:val="24"/>
                <w:szCs w:val="24"/>
                <w:lang w:val="en-US"/>
              </w:rPr>
            </w:pPr>
          </w:p>
          <w:p w14:paraId="7409B860" w14:textId="77777777" w:rsidR="00FA047A" w:rsidRDefault="00FA047A" w:rsidP="0019070E">
            <w:pPr>
              <w:rPr>
                <w:sz w:val="24"/>
                <w:szCs w:val="24"/>
                <w:lang w:val="en-US"/>
              </w:rPr>
            </w:pPr>
          </w:p>
          <w:p w14:paraId="316CE37E" w14:textId="77777777" w:rsidR="00FA047A" w:rsidRPr="00B400E1" w:rsidRDefault="00FA047A" w:rsidP="0019070E">
            <w:pPr>
              <w:rPr>
                <w:sz w:val="24"/>
                <w:szCs w:val="24"/>
                <w:lang w:val="en-US"/>
              </w:rPr>
            </w:pPr>
          </w:p>
        </w:tc>
      </w:tr>
      <w:tr w:rsidR="006A4C99" w:rsidRPr="00B400E1" w14:paraId="753E3081" w14:textId="77777777" w:rsidTr="00414F83">
        <w:trPr>
          <w:trHeight w:val="482"/>
        </w:trPr>
        <w:tc>
          <w:tcPr>
            <w:tcW w:w="10627" w:type="dxa"/>
            <w:gridSpan w:val="9"/>
            <w:shd w:val="clear" w:color="auto" w:fill="FFFF00"/>
            <w:vAlign w:val="center"/>
          </w:tcPr>
          <w:p w14:paraId="3387A127" w14:textId="29DE805F" w:rsidR="006A4C99" w:rsidRPr="00B400E1" w:rsidRDefault="00F62F09" w:rsidP="00F62F09">
            <w:pPr>
              <w:jc w:val="center"/>
              <w:rPr>
                <w:sz w:val="24"/>
                <w:szCs w:val="24"/>
                <w:lang w:val="en-US"/>
              </w:rPr>
            </w:pPr>
            <w:r w:rsidRPr="00302740">
              <w:rPr>
                <w:b/>
                <w:bCs/>
                <w:color w:val="C00000"/>
                <w:sz w:val="24"/>
                <w:szCs w:val="24"/>
                <w:lang w:val="en-US"/>
              </w:rPr>
              <w:t xml:space="preserve">Disclaimer: </w:t>
            </w:r>
            <w:r w:rsidRPr="00302740">
              <w:rPr>
                <w:color w:val="C00000"/>
                <w:sz w:val="24"/>
                <w:szCs w:val="24"/>
                <w:lang w:val="en-US"/>
              </w:rPr>
              <w:t>Please note that the placement information provided is subject to change.</w:t>
            </w:r>
          </w:p>
        </w:tc>
      </w:tr>
    </w:tbl>
    <w:p w14:paraId="16DA05DB" w14:textId="77777777" w:rsidR="00FA0C57" w:rsidRDefault="00FA0C57"/>
    <w:p w14:paraId="0E89CE35" w14:textId="77777777" w:rsidR="0007118D" w:rsidRPr="0007118D" w:rsidRDefault="0007118D" w:rsidP="0007118D"/>
    <w:p w14:paraId="5E59E64C" w14:textId="77777777" w:rsidR="0007118D" w:rsidRPr="0007118D" w:rsidRDefault="0007118D" w:rsidP="0007118D"/>
    <w:p w14:paraId="1D2C409C" w14:textId="77777777" w:rsidR="0007118D" w:rsidRPr="0007118D" w:rsidRDefault="0007118D" w:rsidP="0007118D"/>
    <w:p w14:paraId="4D4C0286" w14:textId="77777777" w:rsidR="0007118D" w:rsidRPr="0007118D" w:rsidRDefault="0007118D" w:rsidP="0007118D">
      <w:pPr>
        <w:jc w:val="center"/>
      </w:pPr>
    </w:p>
    <w:sectPr w:rsidR="0007118D" w:rsidRPr="0007118D" w:rsidSect="00F62F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6922" w14:textId="77777777" w:rsidR="00F26028" w:rsidRDefault="00F26028" w:rsidP="0007118D">
      <w:pPr>
        <w:spacing w:after="0" w:line="240" w:lineRule="auto"/>
      </w:pPr>
      <w:r>
        <w:separator/>
      </w:r>
    </w:p>
  </w:endnote>
  <w:endnote w:type="continuationSeparator" w:id="0">
    <w:p w14:paraId="4BE4CA04" w14:textId="77777777" w:rsidR="00F26028" w:rsidRDefault="00F26028" w:rsidP="0007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3893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F37E13" w14:textId="40CE8FA5" w:rsidR="0007118D" w:rsidRDefault="0007118D">
            <w:pPr>
              <w:pStyle w:val="Footer"/>
              <w:jc w:val="center"/>
            </w:pPr>
            <w:r w:rsidRPr="0007118D">
              <w:rPr>
                <w:sz w:val="20"/>
                <w:szCs w:val="20"/>
              </w:rPr>
              <w:t xml:space="preserve">Page </w:t>
            </w:r>
            <w:r w:rsidRPr="0007118D">
              <w:rPr>
                <w:b/>
                <w:bCs/>
                <w:sz w:val="20"/>
                <w:szCs w:val="20"/>
              </w:rPr>
              <w:fldChar w:fldCharType="begin"/>
            </w:r>
            <w:r w:rsidRPr="0007118D">
              <w:rPr>
                <w:b/>
                <w:bCs/>
                <w:sz w:val="20"/>
                <w:szCs w:val="20"/>
              </w:rPr>
              <w:instrText>PAGE</w:instrText>
            </w:r>
            <w:r w:rsidRPr="0007118D">
              <w:rPr>
                <w:b/>
                <w:bCs/>
                <w:sz w:val="20"/>
                <w:szCs w:val="20"/>
              </w:rPr>
              <w:fldChar w:fldCharType="separate"/>
            </w:r>
            <w:r w:rsidR="00C0171E">
              <w:rPr>
                <w:b/>
                <w:bCs/>
                <w:noProof/>
                <w:sz w:val="20"/>
                <w:szCs w:val="20"/>
              </w:rPr>
              <w:t>1</w:t>
            </w:r>
            <w:r w:rsidRPr="0007118D">
              <w:rPr>
                <w:b/>
                <w:bCs/>
                <w:sz w:val="20"/>
                <w:szCs w:val="20"/>
              </w:rPr>
              <w:fldChar w:fldCharType="end"/>
            </w:r>
            <w:r w:rsidRPr="0007118D">
              <w:rPr>
                <w:sz w:val="20"/>
                <w:szCs w:val="20"/>
              </w:rPr>
              <w:t xml:space="preserve"> of </w:t>
            </w:r>
            <w:r w:rsidRPr="0007118D">
              <w:rPr>
                <w:b/>
                <w:bCs/>
                <w:sz w:val="20"/>
                <w:szCs w:val="20"/>
              </w:rPr>
              <w:fldChar w:fldCharType="begin"/>
            </w:r>
            <w:r w:rsidRPr="0007118D">
              <w:rPr>
                <w:b/>
                <w:bCs/>
                <w:sz w:val="20"/>
                <w:szCs w:val="20"/>
              </w:rPr>
              <w:instrText>NUMPAGES</w:instrText>
            </w:r>
            <w:r w:rsidRPr="0007118D">
              <w:rPr>
                <w:b/>
                <w:bCs/>
                <w:sz w:val="20"/>
                <w:szCs w:val="20"/>
              </w:rPr>
              <w:fldChar w:fldCharType="separate"/>
            </w:r>
            <w:r w:rsidR="00C0171E">
              <w:rPr>
                <w:b/>
                <w:bCs/>
                <w:noProof/>
                <w:sz w:val="20"/>
                <w:szCs w:val="20"/>
              </w:rPr>
              <w:t>1</w:t>
            </w:r>
            <w:r w:rsidRPr="000711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AB3966" w14:textId="77777777" w:rsidR="0007118D" w:rsidRDefault="00071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CEC3" w14:textId="77777777" w:rsidR="00F26028" w:rsidRDefault="00F26028" w:rsidP="0007118D">
      <w:pPr>
        <w:spacing w:after="0" w:line="240" w:lineRule="auto"/>
      </w:pPr>
      <w:r>
        <w:separator/>
      </w:r>
    </w:p>
  </w:footnote>
  <w:footnote w:type="continuationSeparator" w:id="0">
    <w:p w14:paraId="50ED5E8B" w14:textId="77777777" w:rsidR="00F26028" w:rsidRDefault="00F26028" w:rsidP="0007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45D9"/>
    <w:multiLevelType w:val="hybridMultilevel"/>
    <w:tmpl w:val="CD06E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E733C"/>
    <w:multiLevelType w:val="hybridMultilevel"/>
    <w:tmpl w:val="480C4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78697">
    <w:abstractNumId w:val="1"/>
  </w:num>
  <w:num w:numId="2" w16cid:durableId="120390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78"/>
    <w:rsid w:val="0007118D"/>
    <w:rsid w:val="0019070E"/>
    <w:rsid w:val="0026628D"/>
    <w:rsid w:val="00414F83"/>
    <w:rsid w:val="00460C78"/>
    <w:rsid w:val="004B64FC"/>
    <w:rsid w:val="004F74A6"/>
    <w:rsid w:val="00553A8C"/>
    <w:rsid w:val="00620FF2"/>
    <w:rsid w:val="006A4C99"/>
    <w:rsid w:val="008229C7"/>
    <w:rsid w:val="00920112"/>
    <w:rsid w:val="00AA11C4"/>
    <w:rsid w:val="00AA2516"/>
    <w:rsid w:val="00AA4F14"/>
    <w:rsid w:val="00AE1A34"/>
    <w:rsid w:val="00B400E1"/>
    <w:rsid w:val="00C0171E"/>
    <w:rsid w:val="00D65159"/>
    <w:rsid w:val="00E82279"/>
    <w:rsid w:val="00ED459B"/>
    <w:rsid w:val="00F13FD2"/>
    <w:rsid w:val="00F26028"/>
    <w:rsid w:val="00F62F09"/>
    <w:rsid w:val="00FA047A"/>
    <w:rsid w:val="00F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21DC"/>
  <w15:docId w15:val="{7244F977-48BD-41FA-A79D-757E9822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5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0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C7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0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C7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0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C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18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18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DD3D919C02B40AFFCA05862CC1AFC" ma:contentTypeVersion="16" ma:contentTypeDescription="Create a new document." ma:contentTypeScope="" ma:versionID="0035b2c01dbf565a89fd1b14580fe669">
  <xsd:schema xmlns:xsd="http://www.w3.org/2001/XMLSchema" xmlns:xs="http://www.w3.org/2001/XMLSchema" xmlns:p="http://schemas.microsoft.com/office/2006/metadata/properties" xmlns:ns2="9929fc2e-72ba-405b-bc74-e4c2d93106eb" xmlns:ns3="152a24aa-af11-4663-ac03-268ed99449f6" targetNamespace="http://schemas.microsoft.com/office/2006/metadata/properties" ma:root="true" ma:fieldsID="bf43217e3d2f1f44dc2b5a2dee19cc63" ns2:_="" ns3:_="">
    <xsd:import namespace="9929fc2e-72ba-405b-bc74-e4c2d93106eb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ip_UnifiedCompliancePolicyProperties" minOccurs="0"/>
                <xsd:element ref="ns3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9fc2e-72ba-405b-bc74-e4c2d9310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152a24aa-af11-4663-ac03-268ed99449f6" xsi:nil="true"/>
    <_ip_UnifiedCompliancePolicyProperties xmlns="152a24aa-af11-4663-ac03-268ed99449f6" xsi:nil="true"/>
  </documentManagement>
</p:properties>
</file>

<file path=customXml/itemProps1.xml><?xml version="1.0" encoding="utf-8"?>
<ds:datastoreItem xmlns:ds="http://schemas.openxmlformats.org/officeDocument/2006/customXml" ds:itemID="{9D4DD8DC-99CB-47EC-8D24-4598284F9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7D626-442A-4D2F-8A7D-7FFCDDAFD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9fc2e-72ba-405b-bc74-e4c2d93106eb"/>
    <ds:schemaRef ds:uri="152a24aa-af11-4663-ac03-268ed9944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88D58-8B49-4295-92E9-B8DE40014311}">
  <ds:schemaRefs>
    <ds:schemaRef ds:uri="152a24aa-af11-4663-ac03-268ed99449f6"/>
    <ds:schemaRef ds:uri="http://purl.org/dc/terms/"/>
    <ds:schemaRef ds:uri="9929fc2e-72ba-405b-bc74-e4c2d93106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CADIENTE, Cherry (NHS ENGLAND - T1510)</dc:creator>
  <cp:lastModifiedBy>Wilson Jason - Foundation Programme Co-Ordinator</cp:lastModifiedBy>
  <cp:revision>2</cp:revision>
  <dcterms:created xsi:type="dcterms:W3CDTF">2025-01-16T11:00:00Z</dcterms:created>
  <dcterms:modified xsi:type="dcterms:W3CDTF">2025-01-16T11:00:00Z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0x010100460DD3D919C02B40AFFCA05862CC1AFC</vt:lpwstr>
  </property>
</Properties>
</file>