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2"/>
        <w:gridCol w:w="1825"/>
        <w:gridCol w:w="70"/>
        <w:gridCol w:w="1701"/>
        <w:gridCol w:w="54"/>
        <w:gridCol w:w="1789"/>
        <w:gridCol w:w="36"/>
        <w:gridCol w:w="1825"/>
        <w:gridCol w:w="1825"/>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13848827" w:rsidR="00AA2516" w:rsidRDefault="00F13FD2" w:rsidP="00F13FD2">
            <w:pPr>
              <w:jc w:val="center"/>
            </w:pPr>
            <w:r w:rsidRPr="00F13FD2">
              <w:t>F1</w:t>
            </w:r>
          </w:p>
          <w:p w14:paraId="6A5D2F61" w14:textId="77777777" w:rsidR="00414F83" w:rsidRDefault="00414F83"/>
        </w:tc>
        <w:tc>
          <w:tcPr>
            <w:tcW w:w="3544" w:type="dxa"/>
            <w:gridSpan w:val="3"/>
          </w:tcPr>
          <w:p w14:paraId="13EF9699" w14:textId="64EE10A3" w:rsidR="00AA2516" w:rsidRDefault="00F13FD2" w:rsidP="00F13FD2">
            <w:pPr>
              <w:jc w:val="center"/>
            </w:pPr>
            <w:r w:rsidRPr="00F13FD2">
              <w:t>Psychiatry</w:t>
            </w:r>
          </w:p>
        </w:tc>
        <w:tc>
          <w:tcPr>
            <w:tcW w:w="3686" w:type="dxa"/>
            <w:gridSpan w:val="3"/>
          </w:tcPr>
          <w:p w14:paraId="16ED03D2" w14:textId="289921A4" w:rsidR="00AA2516" w:rsidRDefault="00310E51" w:rsidP="00310E51">
            <w:pPr>
              <w:jc w:val="center"/>
            </w:pPr>
            <w:r w:rsidRPr="00310E51">
              <w:t>Old Age Psychiatry</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3C358199" w:rsidR="00414F83" w:rsidRDefault="00F13FD2" w:rsidP="00F13FD2">
            <w:pPr>
              <w:jc w:val="center"/>
            </w:pPr>
            <w:r w:rsidRPr="00F13FD2">
              <w:t>Leicestershire Partnership NHS Trust</w:t>
            </w:r>
          </w:p>
        </w:tc>
        <w:tc>
          <w:tcPr>
            <w:tcW w:w="5529" w:type="dxa"/>
            <w:gridSpan w:val="5"/>
            <w:vAlign w:val="center"/>
          </w:tcPr>
          <w:p w14:paraId="58073DE1" w14:textId="1FB61913" w:rsidR="00AA4F14" w:rsidRDefault="00310E51" w:rsidP="0019070E">
            <w:pPr>
              <w:jc w:val="center"/>
            </w:pPr>
            <w:r w:rsidRPr="00310E51">
              <w:t>Evington Centre, Leicester General Hospital</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6043F3E1" w14:textId="609CAEB4" w:rsidR="00AA4F14" w:rsidRDefault="00310E51" w:rsidP="0019070E">
            <w:r w:rsidRPr="00310E51">
              <w:t>In this placement you will work as part of a multidisciplinary team alongside other doctors, nurses,</w:t>
            </w:r>
            <w:r>
              <w:t xml:space="preserve"> </w:t>
            </w:r>
            <w:r w:rsidRPr="00310E51">
              <w:t>occupational therapists, physiotherapists, and healthcare support workers providing inpatient care for</w:t>
            </w:r>
            <w:r>
              <w:t xml:space="preserve"> </w:t>
            </w:r>
            <w:r w:rsidRPr="00310E51">
              <w:t>patients aged over 65 on Coleman Ward at the Evington Centre.</w:t>
            </w:r>
          </w:p>
          <w:p w14:paraId="3E2E4D84" w14:textId="77777777" w:rsidR="00310E51" w:rsidRDefault="00310E51" w:rsidP="0019070E"/>
          <w:p w14:paraId="41AC3497" w14:textId="103846E9" w:rsidR="00310E51" w:rsidRDefault="00310E51" w:rsidP="00310E51">
            <w:r>
              <w:t>The ward provides an assessment and treatment service for people with organic mental illness such as</w:t>
            </w:r>
            <w:r>
              <w:t xml:space="preserve"> </w:t>
            </w:r>
            <w:r>
              <w:t>dementia, although you will also work with patients with functional mental illness such as depression.</w:t>
            </w:r>
            <w:r>
              <w:t xml:space="preserve"> </w:t>
            </w:r>
            <w:r>
              <w:t>You will be involved in the assessment of patients, formulating risk assessments and management plans for both</w:t>
            </w:r>
            <w:r>
              <w:t xml:space="preserve"> </w:t>
            </w:r>
            <w:r>
              <w:t>mental, physical and health problems, attending weekly multidisciplinary team meetings, supporting patient’s relatives and carers, and helping to plan discharges from the ward.</w:t>
            </w:r>
          </w:p>
          <w:p w14:paraId="0CCBE8AA" w14:textId="77777777" w:rsidR="00310E51" w:rsidRDefault="00310E51" w:rsidP="00310E51"/>
          <w:p w14:paraId="51370E24" w14:textId="0C99AB3F" w:rsidR="00310E51" w:rsidRDefault="00310E51" w:rsidP="00310E51">
            <w:r>
              <w:t>You will gain experience in the legal aspects of metal health care including the use of both Mental Health Act and the Mental Capacity Act, including the Deprivation of Liberty Safeguards (</w:t>
            </w:r>
            <w:proofErr w:type="spellStart"/>
            <w:r>
              <w:t>DoLS</w:t>
            </w:r>
            <w:proofErr w:type="spellEnd"/>
            <w:r>
              <w:t>).</w:t>
            </w:r>
            <w:r>
              <w:t xml:space="preserve"> </w:t>
            </w:r>
            <w:r>
              <w:t>There will also be opportunities to see elderly patients with organic and functional mental illness in a range of community settings under supervision.</w:t>
            </w:r>
          </w:p>
          <w:p w14:paraId="2727E6AF" w14:textId="77777777" w:rsidR="00310E51" w:rsidRDefault="00310E51" w:rsidP="00310E51"/>
          <w:p w14:paraId="331D6A17" w14:textId="0B9E3BE8" w:rsidR="00414F83" w:rsidRDefault="00310E51" w:rsidP="0019070E">
            <w:r>
              <w:t xml:space="preserve">We will </w:t>
            </w:r>
            <w:r>
              <w:t>endeavour</w:t>
            </w:r>
            <w:r>
              <w:t xml:space="preserve"> to provide additional learning experiences in psychiatry according to availability and your interests.</w:t>
            </w:r>
            <w:r>
              <w:t xml:space="preserve"> </w:t>
            </w:r>
            <w:r>
              <w:t>Where possible we will also work to support additional taster sessions in other areas of psychiatry that may be of interest to you during your placement.</w:t>
            </w:r>
          </w:p>
          <w:p w14:paraId="2627F52B" w14:textId="77777777" w:rsidR="00414F83" w:rsidRDefault="00414F83" w:rsidP="0019070E"/>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48CE5401" w:rsidR="00B400E1" w:rsidRPr="0019070E" w:rsidRDefault="00310E51" w:rsidP="00F13FD2">
            <w:pPr>
              <w:jc w:val="center"/>
              <w:rPr>
                <w:lang w:val="en-US"/>
              </w:rPr>
            </w:pPr>
            <w:r w:rsidRPr="00310E51">
              <w:rPr>
                <w:lang w:val="en-US"/>
              </w:rPr>
              <w:t>Ward Work/Attend Outpatient Clinic</w:t>
            </w:r>
          </w:p>
        </w:tc>
        <w:tc>
          <w:tcPr>
            <w:tcW w:w="1825" w:type="dxa"/>
            <w:gridSpan w:val="3"/>
            <w:vAlign w:val="center"/>
          </w:tcPr>
          <w:p w14:paraId="237FB932" w14:textId="57643344" w:rsidR="00B400E1" w:rsidRPr="0019070E" w:rsidRDefault="00310E51" w:rsidP="00F13FD2">
            <w:pPr>
              <w:jc w:val="center"/>
              <w:rPr>
                <w:lang w:val="en-US"/>
              </w:rPr>
            </w:pPr>
            <w:r w:rsidRPr="00310E51">
              <w:rPr>
                <w:lang w:val="en-US"/>
              </w:rPr>
              <w:t>Ward Work</w:t>
            </w:r>
          </w:p>
        </w:tc>
        <w:tc>
          <w:tcPr>
            <w:tcW w:w="1825" w:type="dxa"/>
            <w:gridSpan w:val="2"/>
            <w:vAlign w:val="center"/>
          </w:tcPr>
          <w:p w14:paraId="75F082A9" w14:textId="08EE03A4" w:rsidR="00B400E1" w:rsidRPr="0019070E" w:rsidRDefault="00310E51" w:rsidP="00F13FD2">
            <w:pPr>
              <w:jc w:val="center"/>
              <w:rPr>
                <w:lang w:val="en-US"/>
              </w:rPr>
            </w:pPr>
            <w:r w:rsidRPr="00310E51">
              <w:rPr>
                <w:lang w:val="en-US"/>
              </w:rPr>
              <w:t>Ward Round</w:t>
            </w:r>
          </w:p>
        </w:tc>
        <w:tc>
          <w:tcPr>
            <w:tcW w:w="1825" w:type="dxa"/>
            <w:vAlign w:val="center"/>
          </w:tcPr>
          <w:p w14:paraId="26D182E2" w14:textId="40FE2B75" w:rsidR="00B400E1" w:rsidRPr="0019070E" w:rsidRDefault="00310E51" w:rsidP="00F13FD2">
            <w:pPr>
              <w:jc w:val="center"/>
              <w:rPr>
                <w:lang w:val="en-US"/>
              </w:rPr>
            </w:pPr>
            <w:r w:rsidRPr="00310E51">
              <w:rPr>
                <w:lang w:val="en-US"/>
              </w:rPr>
              <w:t>Ward Round</w:t>
            </w:r>
          </w:p>
        </w:tc>
        <w:tc>
          <w:tcPr>
            <w:tcW w:w="1825" w:type="dxa"/>
            <w:vAlign w:val="center"/>
          </w:tcPr>
          <w:p w14:paraId="4145843D" w14:textId="7F090262" w:rsidR="00B400E1" w:rsidRPr="0019070E" w:rsidRDefault="00310E51" w:rsidP="00F13FD2">
            <w:pPr>
              <w:jc w:val="center"/>
              <w:rPr>
                <w:lang w:val="en-US"/>
              </w:rPr>
            </w:pPr>
            <w:r w:rsidRPr="00310E51">
              <w:rPr>
                <w:lang w:val="en-US"/>
              </w:rPr>
              <w:t>Junior Doctors Meeting/Clinical Supervision</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77777777" w:rsidR="00B400E1" w:rsidRPr="0019070E" w:rsidRDefault="00B400E1" w:rsidP="00920112">
            <w:pPr>
              <w:jc w:val="center"/>
              <w:rPr>
                <w:lang w:val="en-US"/>
              </w:rPr>
            </w:pPr>
          </w:p>
        </w:tc>
        <w:tc>
          <w:tcPr>
            <w:tcW w:w="1825" w:type="dxa"/>
            <w:gridSpan w:val="3"/>
            <w:vAlign w:val="center"/>
          </w:tcPr>
          <w:p w14:paraId="490744EF" w14:textId="1DA57B88" w:rsidR="00B400E1" w:rsidRPr="0019070E" w:rsidRDefault="00B400E1" w:rsidP="00920112">
            <w:pPr>
              <w:jc w:val="center"/>
              <w:rPr>
                <w:lang w:val="en-US"/>
              </w:rPr>
            </w:pPr>
          </w:p>
        </w:tc>
        <w:tc>
          <w:tcPr>
            <w:tcW w:w="1825" w:type="dxa"/>
            <w:gridSpan w:val="2"/>
            <w:vAlign w:val="center"/>
          </w:tcPr>
          <w:p w14:paraId="36EC560C" w14:textId="7F1FEB92" w:rsidR="00B400E1" w:rsidRPr="0019070E" w:rsidRDefault="00310E51" w:rsidP="00920112">
            <w:pPr>
              <w:jc w:val="center"/>
              <w:rPr>
                <w:lang w:val="en-US"/>
              </w:rPr>
            </w:pPr>
            <w:r w:rsidRPr="00310E51">
              <w:rPr>
                <w:lang w:val="en-US"/>
              </w:rPr>
              <w:t>FY Teaching</w:t>
            </w:r>
          </w:p>
        </w:tc>
        <w:tc>
          <w:tcPr>
            <w:tcW w:w="1825" w:type="dxa"/>
            <w:vAlign w:val="center"/>
          </w:tcPr>
          <w:p w14:paraId="23ADE04E" w14:textId="77777777" w:rsidR="00B400E1" w:rsidRPr="0019070E" w:rsidRDefault="00B400E1" w:rsidP="00920112">
            <w:pPr>
              <w:jc w:val="center"/>
              <w:rPr>
                <w:lang w:val="en-US"/>
              </w:rPr>
            </w:pPr>
          </w:p>
        </w:tc>
        <w:tc>
          <w:tcPr>
            <w:tcW w:w="1825" w:type="dxa"/>
            <w:vAlign w:val="center"/>
          </w:tcPr>
          <w:p w14:paraId="41E99C9B" w14:textId="001E97B9" w:rsidR="00B400E1" w:rsidRPr="0019070E" w:rsidRDefault="00310E51" w:rsidP="00920112">
            <w:pPr>
              <w:jc w:val="center"/>
              <w:rPr>
                <w:lang w:val="en-US"/>
              </w:rPr>
            </w:pPr>
            <w:r w:rsidRPr="00310E51">
              <w:rPr>
                <w:lang w:val="en-US"/>
              </w:rPr>
              <w:t>Postgraduate Teaching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2B411A10" w:rsidR="00B400E1" w:rsidRPr="0019070E" w:rsidRDefault="00310E51" w:rsidP="00F13FD2">
            <w:pPr>
              <w:jc w:val="center"/>
              <w:rPr>
                <w:lang w:val="en-US"/>
              </w:rPr>
            </w:pPr>
            <w:r w:rsidRPr="00310E51">
              <w:rPr>
                <w:lang w:val="en-US"/>
              </w:rPr>
              <w:t>Ward Work/Attend Home Visits</w:t>
            </w:r>
          </w:p>
        </w:tc>
        <w:tc>
          <w:tcPr>
            <w:tcW w:w="1825" w:type="dxa"/>
            <w:gridSpan w:val="3"/>
            <w:vAlign w:val="center"/>
          </w:tcPr>
          <w:p w14:paraId="7A78C863" w14:textId="4E77B53D" w:rsidR="00B400E1" w:rsidRPr="0019070E" w:rsidRDefault="00310E51" w:rsidP="00920112">
            <w:pPr>
              <w:jc w:val="center"/>
              <w:rPr>
                <w:lang w:val="en-US"/>
              </w:rPr>
            </w:pPr>
            <w:r w:rsidRPr="00310E51">
              <w:rPr>
                <w:lang w:val="en-US"/>
              </w:rPr>
              <w:t>Ward Work/MDT Meeting</w:t>
            </w:r>
          </w:p>
        </w:tc>
        <w:tc>
          <w:tcPr>
            <w:tcW w:w="1825" w:type="dxa"/>
            <w:gridSpan w:val="2"/>
            <w:vAlign w:val="center"/>
          </w:tcPr>
          <w:p w14:paraId="06AC7BEC" w14:textId="3AD31F89" w:rsidR="00B400E1" w:rsidRPr="0019070E" w:rsidRDefault="00310E51" w:rsidP="00920112">
            <w:pPr>
              <w:jc w:val="center"/>
              <w:rPr>
                <w:lang w:val="en-US"/>
              </w:rPr>
            </w:pPr>
            <w:r w:rsidRPr="00310E51">
              <w:rPr>
                <w:lang w:val="en-US"/>
              </w:rPr>
              <w:t>Ward Round/Ward Work</w:t>
            </w:r>
          </w:p>
        </w:tc>
        <w:tc>
          <w:tcPr>
            <w:tcW w:w="1825" w:type="dxa"/>
            <w:vAlign w:val="center"/>
          </w:tcPr>
          <w:p w14:paraId="221ACD40" w14:textId="6F4F8A38" w:rsidR="00B400E1" w:rsidRPr="0019070E" w:rsidRDefault="00310E51" w:rsidP="00920112">
            <w:pPr>
              <w:jc w:val="center"/>
              <w:rPr>
                <w:lang w:val="en-US"/>
              </w:rPr>
            </w:pPr>
            <w:r w:rsidRPr="00310E51">
              <w:rPr>
                <w:lang w:val="en-US"/>
              </w:rPr>
              <w:t>Ward Work/Monthly Neuroradiology Meeting</w:t>
            </w:r>
          </w:p>
        </w:tc>
        <w:tc>
          <w:tcPr>
            <w:tcW w:w="1825" w:type="dxa"/>
            <w:vAlign w:val="center"/>
          </w:tcPr>
          <w:p w14:paraId="7940D2C8" w14:textId="6F179F49" w:rsidR="00B400E1" w:rsidRPr="0019070E" w:rsidRDefault="00310E51" w:rsidP="00920112">
            <w:pPr>
              <w:jc w:val="center"/>
              <w:rPr>
                <w:lang w:val="en-US"/>
              </w:rPr>
            </w:pPr>
            <w:r w:rsidRPr="00310E51">
              <w:rPr>
                <w:lang w:val="en-US"/>
              </w:rPr>
              <w:t>Ward Work</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t>Educational Activities:</w:t>
            </w:r>
          </w:p>
        </w:tc>
      </w:tr>
      <w:tr w:rsidR="008229C7" w:rsidRPr="00B400E1" w14:paraId="3E34C669" w14:textId="77777777" w:rsidTr="0019070E">
        <w:trPr>
          <w:trHeight w:val="90"/>
        </w:trPr>
        <w:tc>
          <w:tcPr>
            <w:tcW w:w="10627" w:type="dxa"/>
            <w:gridSpan w:val="9"/>
          </w:tcPr>
          <w:p w14:paraId="2F4C373D" w14:textId="77777777" w:rsidR="00670A7E" w:rsidRPr="00670A7E" w:rsidRDefault="00670A7E" w:rsidP="00670A7E">
            <w:pPr>
              <w:spacing w:after="0" w:line="240" w:lineRule="auto"/>
              <w:rPr>
                <w:sz w:val="24"/>
                <w:szCs w:val="24"/>
                <w:lang w:val="en-US"/>
              </w:rPr>
            </w:pPr>
            <w:r w:rsidRPr="00670A7E">
              <w:rPr>
                <w:sz w:val="24"/>
                <w:szCs w:val="24"/>
                <w:lang w:val="en-US"/>
              </w:rPr>
              <w:t>You will receive weekly face to face supervision with your Clinical Supervisor lasting one hour.</w:t>
            </w:r>
          </w:p>
          <w:p w14:paraId="19EFE931" w14:textId="03DC14D8" w:rsidR="00670A7E" w:rsidRPr="00670A7E" w:rsidRDefault="00670A7E" w:rsidP="00670A7E">
            <w:pPr>
              <w:spacing w:after="0" w:line="240" w:lineRule="auto"/>
              <w:rPr>
                <w:sz w:val="24"/>
                <w:szCs w:val="24"/>
                <w:lang w:val="en-US"/>
              </w:rPr>
            </w:pPr>
            <w:r w:rsidRPr="00670A7E">
              <w:rPr>
                <w:sz w:val="24"/>
                <w:szCs w:val="24"/>
                <w:lang w:val="en-US"/>
              </w:rPr>
              <w:t>Weekly journal clubs and post-graduate teaching (off site through a video link is available for some sessions)</w:t>
            </w:r>
            <w:r>
              <w:rPr>
                <w:sz w:val="24"/>
                <w:szCs w:val="24"/>
                <w:lang w:val="en-US"/>
              </w:rPr>
              <w:t>.</w:t>
            </w:r>
          </w:p>
          <w:p w14:paraId="23D1C1F6" w14:textId="2D1854BF" w:rsidR="00670A7E" w:rsidRPr="00670A7E" w:rsidRDefault="00670A7E" w:rsidP="00670A7E">
            <w:pPr>
              <w:spacing w:after="0" w:line="240" w:lineRule="auto"/>
              <w:rPr>
                <w:sz w:val="24"/>
                <w:szCs w:val="24"/>
                <w:lang w:val="en-US"/>
              </w:rPr>
            </w:pPr>
            <w:r w:rsidRPr="00670A7E">
              <w:rPr>
                <w:sz w:val="24"/>
                <w:szCs w:val="24"/>
                <w:lang w:val="en-US"/>
              </w:rPr>
              <w:lastRenderedPageBreak/>
              <w:t>Monthly neuroradiology meeting</w:t>
            </w:r>
            <w:r>
              <w:rPr>
                <w:sz w:val="24"/>
                <w:szCs w:val="24"/>
                <w:lang w:val="en-US"/>
              </w:rPr>
              <w:t>.</w:t>
            </w:r>
          </w:p>
          <w:p w14:paraId="410AC6F2" w14:textId="1977F8A8" w:rsidR="00670A7E" w:rsidRPr="00670A7E" w:rsidRDefault="00670A7E" w:rsidP="00670A7E">
            <w:pPr>
              <w:spacing w:after="0" w:line="240" w:lineRule="auto"/>
              <w:rPr>
                <w:sz w:val="24"/>
                <w:szCs w:val="24"/>
                <w:lang w:val="en-US"/>
              </w:rPr>
            </w:pPr>
            <w:r w:rsidRPr="00670A7E">
              <w:rPr>
                <w:sz w:val="24"/>
                <w:szCs w:val="24"/>
                <w:lang w:val="en-US"/>
              </w:rPr>
              <w:t>Mandatory FY Teaching</w:t>
            </w:r>
            <w:r>
              <w:rPr>
                <w:sz w:val="24"/>
                <w:szCs w:val="24"/>
                <w:lang w:val="en-US"/>
              </w:rPr>
              <w:t>.</w:t>
            </w:r>
          </w:p>
          <w:p w14:paraId="6B6D29E2" w14:textId="557EFDD1" w:rsidR="00414F83" w:rsidRDefault="00670A7E" w:rsidP="00670A7E">
            <w:pPr>
              <w:rPr>
                <w:sz w:val="24"/>
                <w:szCs w:val="24"/>
                <w:lang w:val="en-US"/>
              </w:rPr>
            </w:pPr>
            <w:r w:rsidRPr="00670A7E">
              <w:rPr>
                <w:sz w:val="24"/>
                <w:szCs w:val="24"/>
                <w:lang w:val="en-US"/>
              </w:rPr>
              <w:t>You will be working with Dr Sawhney who is the Lead Clinician for audit in Mental Health Services for Older People so there will be opportunities to be involved in a range of audit activities.</w:t>
            </w:r>
          </w:p>
          <w:p w14:paraId="73E89F50" w14:textId="77777777" w:rsidR="00414F83" w:rsidRPr="00B400E1" w:rsidRDefault="00414F83" w:rsidP="0019070E">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lastRenderedPageBreak/>
              <w:t>Other Comments (if appropriate):</w:t>
            </w:r>
          </w:p>
        </w:tc>
      </w:tr>
      <w:tr w:rsidR="008229C7" w:rsidRPr="00B400E1" w14:paraId="3960310A" w14:textId="77777777" w:rsidTr="0019070E">
        <w:trPr>
          <w:trHeight w:val="90"/>
        </w:trPr>
        <w:tc>
          <w:tcPr>
            <w:tcW w:w="10627" w:type="dxa"/>
            <w:gridSpan w:val="9"/>
          </w:tcPr>
          <w:p w14:paraId="58D67521" w14:textId="5B416256" w:rsidR="00414F83" w:rsidRDefault="00670A7E" w:rsidP="0019070E">
            <w:pPr>
              <w:rPr>
                <w:sz w:val="24"/>
                <w:szCs w:val="24"/>
                <w:lang w:val="en-US"/>
              </w:rPr>
            </w:pPr>
            <w:r w:rsidRPr="00670A7E">
              <w:rPr>
                <w:sz w:val="24"/>
                <w:szCs w:val="24"/>
                <w:lang w:val="en-US"/>
              </w:rPr>
              <w:t>Leicestershire Partnership Trust places a keen focus on the education and training of junior doctors. This post will provide excellent opportunity to develop your clinical skills and competencies, ensuring you meet the objectives ser in the Foundation Training Curriculum.</w:t>
            </w:r>
          </w:p>
          <w:p w14:paraId="20F2215B" w14:textId="77777777" w:rsidR="00670A7E" w:rsidRDefault="00670A7E" w:rsidP="0019070E">
            <w:pPr>
              <w:rPr>
                <w:sz w:val="24"/>
                <w:szCs w:val="24"/>
                <w:lang w:val="en-US"/>
              </w:rPr>
            </w:pPr>
          </w:p>
          <w:p w14:paraId="502D2688" w14:textId="60831CBB" w:rsidR="00670A7E" w:rsidRDefault="00670A7E" w:rsidP="0019070E">
            <w:pPr>
              <w:rPr>
                <w:sz w:val="24"/>
                <w:szCs w:val="24"/>
                <w:lang w:val="en-US"/>
              </w:rPr>
            </w:pPr>
            <w:r w:rsidRPr="00670A7E">
              <w:rPr>
                <w:sz w:val="24"/>
                <w:szCs w:val="24"/>
                <w:lang w:val="en-US"/>
              </w:rPr>
              <w:t>Working within general adult psychiatry, you will have the opportunity of assessing and treating patients with a range of physical and mental health needs in both hospital and community settings. With the treatment focusing in the whole of the patient, you will gain an insight into holistic healthcare and the increasing importance of managing chronic health problems in the community, closely allied with the objective of the Foundation Curriculum.</w:t>
            </w:r>
          </w:p>
          <w:p w14:paraId="1C8219D9" w14:textId="77777777" w:rsidR="00670A7E" w:rsidRDefault="00670A7E" w:rsidP="0019070E">
            <w:pPr>
              <w:rPr>
                <w:sz w:val="24"/>
                <w:szCs w:val="24"/>
                <w:lang w:val="en-US"/>
              </w:rPr>
            </w:pPr>
          </w:p>
          <w:p w14:paraId="038533B5" w14:textId="77777777" w:rsidR="00670A7E" w:rsidRPr="00670A7E" w:rsidRDefault="00670A7E" w:rsidP="00670A7E">
            <w:pPr>
              <w:spacing w:after="0" w:line="240" w:lineRule="auto"/>
              <w:rPr>
                <w:sz w:val="24"/>
                <w:szCs w:val="24"/>
                <w:lang w:val="en-US"/>
              </w:rPr>
            </w:pPr>
            <w:r w:rsidRPr="00670A7E">
              <w:rPr>
                <w:sz w:val="24"/>
                <w:szCs w:val="24"/>
                <w:lang w:val="en-US"/>
              </w:rPr>
              <w:t xml:space="preserve">With excellent senior support, including an hour of clinical supervision with a named clinical supervisor per week, we will support you in our in-house Academic Programme. We will ensure that you are exposed to multidisciplinary team working, with the patient at the </w:t>
            </w:r>
            <w:proofErr w:type="spellStart"/>
            <w:r w:rsidRPr="00670A7E">
              <w:rPr>
                <w:sz w:val="24"/>
                <w:szCs w:val="24"/>
                <w:lang w:val="en-US"/>
              </w:rPr>
              <w:t>centre</w:t>
            </w:r>
            <w:proofErr w:type="spellEnd"/>
            <w:r w:rsidRPr="00670A7E">
              <w:rPr>
                <w:sz w:val="24"/>
                <w:szCs w:val="24"/>
                <w:lang w:val="en-US"/>
              </w:rPr>
              <w:t xml:space="preserve"> of the care and where possible will offer the opportunity for exploring special interests in this field.</w:t>
            </w:r>
          </w:p>
          <w:p w14:paraId="495EDF9E" w14:textId="281D543D" w:rsidR="00670A7E" w:rsidRDefault="00670A7E" w:rsidP="00670A7E">
            <w:pPr>
              <w:rPr>
                <w:sz w:val="24"/>
                <w:szCs w:val="24"/>
                <w:lang w:val="en-US"/>
              </w:rPr>
            </w:pPr>
            <w:r w:rsidRPr="00670A7E">
              <w:rPr>
                <w:sz w:val="24"/>
                <w:szCs w:val="24"/>
                <w:lang w:val="en-US"/>
              </w:rPr>
              <w:t>Along with developing your knowledge and treatment of both metal and physical disorders, you will have the opportunity to expand on a wide range of skills that will be applicable across multiple domains of medicine. This may include experience in leadership, communication skills and audit.</w:t>
            </w:r>
          </w:p>
          <w:p w14:paraId="7409B860" w14:textId="77777777" w:rsidR="00FA047A" w:rsidRDefault="00FA047A" w:rsidP="0019070E">
            <w:pPr>
              <w:rPr>
                <w:sz w:val="24"/>
                <w:szCs w:val="24"/>
                <w:lang w:val="en-US"/>
              </w:rPr>
            </w:pPr>
          </w:p>
          <w:p w14:paraId="316CE37E" w14:textId="77777777" w:rsidR="00FA047A" w:rsidRPr="00B400E1" w:rsidRDefault="00FA047A" w:rsidP="0019070E">
            <w:pPr>
              <w:rPr>
                <w:sz w:val="24"/>
                <w:szCs w:val="24"/>
                <w:lang w:val="en-US"/>
              </w:rPr>
            </w:pP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0E89CE35" w14:textId="77777777" w:rsidR="0007118D" w:rsidRPr="0007118D" w:rsidRDefault="0007118D" w:rsidP="0007118D"/>
    <w:p w14:paraId="5E59E64C" w14:textId="77777777" w:rsidR="0007118D" w:rsidRPr="0007118D" w:rsidRDefault="0007118D" w:rsidP="0007118D"/>
    <w:p w14:paraId="1D2C409C" w14:textId="77777777" w:rsidR="0007118D" w:rsidRPr="0007118D" w:rsidRDefault="0007118D" w:rsidP="0007118D"/>
    <w:p w14:paraId="4D4C0286" w14:textId="77777777" w:rsidR="0007118D" w:rsidRPr="0007118D" w:rsidRDefault="0007118D" w:rsidP="0007118D">
      <w:pPr>
        <w:jc w:val="center"/>
      </w:pPr>
    </w:p>
    <w:sectPr w:rsidR="0007118D" w:rsidRPr="0007118D" w:rsidSect="00F62F0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45D9"/>
    <w:multiLevelType w:val="hybridMultilevel"/>
    <w:tmpl w:val="CD06E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E733C"/>
    <w:multiLevelType w:val="hybridMultilevel"/>
    <w:tmpl w:val="480C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278697">
    <w:abstractNumId w:val="1"/>
  </w:num>
  <w:num w:numId="2" w16cid:durableId="120390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7118D"/>
    <w:rsid w:val="0019070E"/>
    <w:rsid w:val="0026628D"/>
    <w:rsid w:val="00310E51"/>
    <w:rsid w:val="00414F83"/>
    <w:rsid w:val="00460C78"/>
    <w:rsid w:val="004B64FC"/>
    <w:rsid w:val="004F74A6"/>
    <w:rsid w:val="00553A8C"/>
    <w:rsid w:val="00620FF2"/>
    <w:rsid w:val="00670A7E"/>
    <w:rsid w:val="006A4C99"/>
    <w:rsid w:val="008229C7"/>
    <w:rsid w:val="00920112"/>
    <w:rsid w:val="00AA11C4"/>
    <w:rsid w:val="00AA2516"/>
    <w:rsid w:val="00AA4F14"/>
    <w:rsid w:val="00AE1A34"/>
    <w:rsid w:val="00B400E1"/>
    <w:rsid w:val="00C0171E"/>
    <w:rsid w:val="00D65159"/>
    <w:rsid w:val="00E82279"/>
    <w:rsid w:val="00ED459B"/>
    <w:rsid w:val="00F13FD2"/>
    <w:rsid w:val="00F26028"/>
    <w:rsid w:val="00F62F09"/>
    <w:rsid w:val="00FA047A"/>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Props1.xml><?xml version="1.0" encoding="utf-8"?>
<ds:datastoreItem xmlns:ds="http://schemas.openxmlformats.org/officeDocument/2006/customXml" ds:itemID="{9D4DD8DC-99CB-47EC-8D24-4598284F9F36}">
  <ds:schemaRefs>
    <ds:schemaRef ds:uri="http://schemas.microsoft.com/sharepoint/v3/contenttype/forms"/>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2</cp:revision>
  <dcterms:created xsi:type="dcterms:W3CDTF">2025-01-16T11:12:00Z</dcterms:created>
  <dcterms:modified xsi:type="dcterms:W3CDTF">2025-01-16T11:12:00Z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