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9F17E" w14:textId="77777777" w:rsidR="00D65159" w:rsidRDefault="00D65159" w:rsidP="00D65159">
      <w:pPr>
        <w:jc w:val="center"/>
        <w:rPr>
          <w:b/>
          <w:bCs/>
          <w:sz w:val="72"/>
          <w:szCs w:val="72"/>
          <w:lang w:val="en-US"/>
        </w:rPr>
      </w:pPr>
      <w:r w:rsidRPr="00FF75D8">
        <w:rPr>
          <w:b/>
          <w:bCs/>
          <w:sz w:val="72"/>
          <w:szCs w:val="72"/>
          <w:lang w:val="en-US"/>
        </w:rPr>
        <w:t>Foundation Job Description</w:t>
      </w:r>
    </w:p>
    <w:tbl>
      <w:tblPr>
        <w:tblStyle w:val="TableGrid"/>
        <w:tblW w:w="10627" w:type="dxa"/>
        <w:tblLook w:val="04A0" w:firstRow="1" w:lastRow="0" w:firstColumn="1" w:lastColumn="0" w:noHBand="0" w:noVBand="1"/>
      </w:tblPr>
      <w:tblGrid>
        <w:gridCol w:w="1495"/>
        <w:gridCol w:w="1797"/>
        <w:gridCol w:w="67"/>
        <w:gridCol w:w="1663"/>
        <w:gridCol w:w="54"/>
        <w:gridCol w:w="1762"/>
        <w:gridCol w:w="35"/>
        <w:gridCol w:w="1792"/>
        <w:gridCol w:w="1962"/>
      </w:tblGrid>
      <w:tr w:rsidR="00D65159" w:rsidRPr="00F62F09" w14:paraId="783FA291" w14:textId="77777777" w:rsidTr="00ED459B">
        <w:tc>
          <w:tcPr>
            <w:tcW w:w="10627" w:type="dxa"/>
            <w:gridSpan w:val="9"/>
            <w:shd w:val="clear" w:color="auto" w:fill="C1F0C7" w:themeFill="accent3" w:themeFillTint="33"/>
          </w:tcPr>
          <w:p w14:paraId="11E779FD" w14:textId="3D154486" w:rsidR="00D65159" w:rsidRPr="00F62F09" w:rsidRDefault="00D65159" w:rsidP="00F62F09">
            <w:pPr>
              <w:jc w:val="center"/>
              <w:rPr>
                <w:b/>
                <w:bCs/>
                <w:sz w:val="28"/>
                <w:szCs w:val="28"/>
              </w:rPr>
            </w:pPr>
            <w:r w:rsidRPr="00F62F09">
              <w:rPr>
                <w:b/>
                <w:bCs/>
                <w:sz w:val="28"/>
                <w:szCs w:val="28"/>
              </w:rPr>
              <w:t>Foundation School</w:t>
            </w:r>
          </w:p>
        </w:tc>
      </w:tr>
      <w:tr w:rsidR="00D65159" w14:paraId="6117EC23" w14:textId="77777777" w:rsidTr="00AA11C4">
        <w:trPr>
          <w:trHeight w:val="514"/>
        </w:trPr>
        <w:tc>
          <w:tcPr>
            <w:tcW w:w="10627" w:type="dxa"/>
            <w:gridSpan w:val="9"/>
            <w:vAlign w:val="center"/>
          </w:tcPr>
          <w:p w14:paraId="3C4C95B4" w14:textId="342FE404" w:rsidR="00414F83" w:rsidRDefault="00AA11C4" w:rsidP="00AA11C4">
            <w:pPr>
              <w:jc w:val="center"/>
            </w:pPr>
            <w:r>
              <w:t xml:space="preserve">LNR </w:t>
            </w:r>
          </w:p>
        </w:tc>
      </w:tr>
      <w:tr w:rsidR="00AA2516" w:rsidRPr="00414F83" w14:paraId="3877837A" w14:textId="77777777" w:rsidTr="00ED459B">
        <w:trPr>
          <w:trHeight w:val="123"/>
        </w:trPr>
        <w:tc>
          <w:tcPr>
            <w:tcW w:w="3397" w:type="dxa"/>
            <w:gridSpan w:val="3"/>
            <w:shd w:val="clear" w:color="auto" w:fill="C1F0C7" w:themeFill="accent3" w:themeFillTint="33"/>
          </w:tcPr>
          <w:p w14:paraId="7B707E45" w14:textId="77777777" w:rsidR="00AA2516" w:rsidRDefault="00AA2516" w:rsidP="00F62F09">
            <w:pPr>
              <w:jc w:val="center"/>
              <w:rPr>
                <w:b/>
                <w:bCs/>
                <w:sz w:val="24"/>
                <w:szCs w:val="24"/>
              </w:rPr>
            </w:pPr>
            <w:r w:rsidRPr="00414F83">
              <w:rPr>
                <w:b/>
                <w:bCs/>
                <w:sz w:val="24"/>
                <w:szCs w:val="24"/>
              </w:rPr>
              <w:t>Grade</w:t>
            </w:r>
          </w:p>
          <w:p w14:paraId="2882DF2C" w14:textId="3323A9F7" w:rsidR="00E82279" w:rsidRPr="00E82279" w:rsidRDefault="00E82279" w:rsidP="00F62F09">
            <w:pPr>
              <w:jc w:val="center"/>
              <w:rPr>
                <w:i/>
                <w:iCs/>
                <w:sz w:val="24"/>
                <w:szCs w:val="24"/>
              </w:rPr>
            </w:pPr>
            <w:r w:rsidRPr="00E82279">
              <w:rPr>
                <w:i/>
                <w:iCs/>
              </w:rPr>
              <w:t>(F1 or F2)</w:t>
            </w:r>
          </w:p>
        </w:tc>
        <w:tc>
          <w:tcPr>
            <w:tcW w:w="3544" w:type="dxa"/>
            <w:gridSpan w:val="3"/>
            <w:shd w:val="clear" w:color="auto" w:fill="C1F0C7" w:themeFill="accent3" w:themeFillTint="33"/>
          </w:tcPr>
          <w:p w14:paraId="4F32D867" w14:textId="77777777" w:rsidR="00AA2516" w:rsidRDefault="00AA2516" w:rsidP="00F62F09">
            <w:pPr>
              <w:jc w:val="center"/>
              <w:rPr>
                <w:b/>
                <w:bCs/>
                <w:sz w:val="24"/>
                <w:szCs w:val="24"/>
              </w:rPr>
            </w:pPr>
            <w:r w:rsidRPr="00414F83">
              <w:rPr>
                <w:b/>
                <w:bCs/>
                <w:sz w:val="24"/>
                <w:szCs w:val="24"/>
              </w:rPr>
              <w:t>Specialty</w:t>
            </w:r>
          </w:p>
          <w:p w14:paraId="3FB862EA" w14:textId="7E60F849" w:rsidR="0026628D" w:rsidRPr="0026628D" w:rsidRDefault="0026628D" w:rsidP="0026628D">
            <w:pPr>
              <w:jc w:val="center"/>
              <w:rPr>
                <w:b/>
                <w:bCs/>
                <w:i/>
                <w:iCs/>
                <w:sz w:val="24"/>
                <w:szCs w:val="24"/>
                <w:lang w:val="en-US"/>
              </w:rPr>
            </w:pPr>
            <w:r w:rsidRPr="00E82279">
              <w:rPr>
                <w:i/>
                <w:iCs/>
                <w:lang w:val="en-US"/>
              </w:rPr>
              <w:t>If General (Internal) Medicine OR General Surgery, please provide a sub-specialty</w:t>
            </w:r>
          </w:p>
        </w:tc>
        <w:tc>
          <w:tcPr>
            <w:tcW w:w="3686" w:type="dxa"/>
            <w:gridSpan w:val="3"/>
            <w:shd w:val="clear" w:color="auto" w:fill="C1F0C7" w:themeFill="accent3" w:themeFillTint="33"/>
          </w:tcPr>
          <w:p w14:paraId="41684331" w14:textId="77777777" w:rsidR="00AA2516" w:rsidRDefault="00AA2516" w:rsidP="00F62F09">
            <w:pPr>
              <w:jc w:val="center"/>
              <w:rPr>
                <w:b/>
                <w:bCs/>
                <w:sz w:val="24"/>
                <w:szCs w:val="24"/>
              </w:rPr>
            </w:pPr>
            <w:r w:rsidRPr="00414F83">
              <w:rPr>
                <w:b/>
                <w:bCs/>
                <w:sz w:val="24"/>
                <w:szCs w:val="24"/>
              </w:rPr>
              <w:t>Sub-specialty (if appropriate)</w:t>
            </w:r>
          </w:p>
          <w:p w14:paraId="3C26D2F3" w14:textId="4C2912A0" w:rsidR="00E82279" w:rsidRPr="00E82279" w:rsidRDefault="00E82279" w:rsidP="00E82279">
            <w:pPr>
              <w:jc w:val="center"/>
              <w:rPr>
                <w:b/>
                <w:bCs/>
                <w:i/>
                <w:iCs/>
                <w:sz w:val="24"/>
                <w:szCs w:val="24"/>
                <w:lang w:val="en-US"/>
              </w:rPr>
            </w:pPr>
            <w:r w:rsidRPr="00E82279">
              <w:rPr>
                <w:i/>
                <w:iCs/>
                <w:lang w:val="en-US"/>
              </w:rPr>
              <w:t>If General (Internal) Medicine OR General Surgery, please provide a sub-specialty</w:t>
            </w:r>
          </w:p>
        </w:tc>
      </w:tr>
      <w:tr w:rsidR="00AA2516" w14:paraId="1DB84BD5" w14:textId="77777777" w:rsidTr="00ED459B">
        <w:trPr>
          <w:trHeight w:val="122"/>
        </w:trPr>
        <w:tc>
          <w:tcPr>
            <w:tcW w:w="3397" w:type="dxa"/>
            <w:gridSpan w:val="3"/>
          </w:tcPr>
          <w:p w14:paraId="0113E488" w14:textId="2CE47631" w:rsidR="00AA2516" w:rsidRDefault="00587376" w:rsidP="00587376">
            <w:pPr>
              <w:jc w:val="center"/>
            </w:pPr>
            <w:r w:rsidRPr="00587376">
              <w:t>F2</w:t>
            </w:r>
          </w:p>
          <w:p w14:paraId="6A5D2F61" w14:textId="77777777" w:rsidR="00414F83" w:rsidRDefault="00414F83"/>
        </w:tc>
        <w:tc>
          <w:tcPr>
            <w:tcW w:w="3544" w:type="dxa"/>
            <w:gridSpan w:val="3"/>
          </w:tcPr>
          <w:p w14:paraId="13EF9699" w14:textId="2ACDB3F1" w:rsidR="00AA2516" w:rsidRDefault="00587376" w:rsidP="00587376">
            <w:pPr>
              <w:jc w:val="center"/>
            </w:pPr>
            <w:r w:rsidRPr="00587376">
              <w:t>Psychiatry</w:t>
            </w:r>
          </w:p>
        </w:tc>
        <w:tc>
          <w:tcPr>
            <w:tcW w:w="3686" w:type="dxa"/>
            <w:gridSpan w:val="3"/>
          </w:tcPr>
          <w:p w14:paraId="16ED03D2" w14:textId="6516AE07" w:rsidR="00AA2516" w:rsidRDefault="003B29A4" w:rsidP="00587376">
            <w:pPr>
              <w:jc w:val="center"/>
            </w:pPr>
            <w:r w:rsidRPr="003B29A4">
              <w:t>General Adult</w:t>
            </w:r>
          </w:p>
        </w:tc>
      </w:tr>
      <w:tr w:rsidR="00AA4F14" w:rsidRPr="00414F83" w14:paraId="6E1BD9E0" w14:textId="77777777" w:rsidTr="00ED459B">
        <w:trPr>
          <w:trHeight w:val="123"/>
        </w:trPr>
        <w:tc>
          <w:tcPr>
            <w:tcW w:w="5098" w:type="dxa"/>
            <w:gridSpan w:val="4"/>
            <w:shd w:val="clear" w:color="auto" w:fill="C1F0C7" w:themeFill="accent3" w:themeFillTint="33"/>
          </w:tcPr>
          <w:p w14:paraId="363D3B6F" w14:textId="50C53183" w:rsidR="00AA4F14" w:rsidRPr="00414F83" w:rsidRDefault="00AA4F14" w:rsidP="00F62F09">
            <w:pPr>
              <w:jc w:val="center"/>
              <w:rPr>
                <w:b/>
                <w:bCs/>
                <w:sz w:val="24"/>
                <w:szCs w:val="24"/>
              </w:rPr>
            </w:pPr>
            <w:r w:rsidRPr="00414F83">
              <w:rPr>
                <w:b/>
                <w:bCs/>
                <w:sz w:val="24"/>
                <w:szCs w:val="24"/>
              </w:rPr>
              <w:t>Trust</w:t>
            </w:r>
          </w:p>
        </w:tc>
        <w:tc>
          <w:tcPr>
            <w:tcW w:w="5529" w:type="dxa"/>
            <w:gridSpan w:val="5"/>
            <w:shd w:val="clear" w:color="auto" w:fill="C1F0C7" w:themeFill="accent3" w:themeFillTint="33"/>
          </w:tcPr>
          <w:p w14:paraId="4C26230F" w14:textId="75317C9F" w:rsidR="00AA4F14" w:rsidRPr="00414F83" w:rsidRDefault="00AA4F14" w:rsidP="00F62F09">
            <w:pPr>
              <w:jc w:val="center"/>
              <w:rPr>
                <w:b/>
                <w:bCs/>
                <w:sz w:val="24"/>
                <w:szCs w:val="24"/>
              </w:rPr>
            </w:pPr>
            <w:r w:rsidRPr="00414F83">
              <w:rPr>
                <w:b/>
                <w:bCs/>
                <w:sz w:val="24"/>
                <w:szCs w:val="24"/>
              </w:rPr>
              <w:t>Site</w:t>
            </w:r>
          </w:p>
        </w:tc>
      </w:tr>
      <w:tr w:rsidR="00AA4F14" w14:paraId="28DDBD94" w14:textId="77777777" w:rsidTr="0019070E">
        <w:trPr>
          <w:trHeight w:val="436"/>
        </w:trPr>
        <w:tc>
          <w:tcPr>
            <w:tcW w:w="5098" w:type="dxa"/>
            <w:gridSpan w:val="4"/>
            <w:vAlign w:val="center"/>
          </w:tcPr>
          <w:p w14:paraId="59272C78" w14:textId="2DB545D3" w:rsidR="00414F83" w:rsidRDefault="00587376" w:rsidP="00587376">
            <w:pPr>
              <w:jc w:val="center"/>
            </w:pPr>
            <w:r w:rsidRPr="00587376">
              <w:t>Leicestershire Partnership Trust</w:t>
            </w:r>
          </w:p>
        </w:tc>
        <w:tc>
          <w:tcPr>
            <w:tcW w:w="5529" w:type="dxa"/>
            <w:gridSpan w:val="5"/>
            <w:vAlign w:val="center"/>
          </w:tcPr>
          <w:p w14:paraId="58073DE1" w14:textId="5E6434D8" w:rsidR="00AA4F14" w:rsidRDefault="003B29A4" w:rsidP="0019070E">
            <w:pPr>
              <w:jc w:val="center"/>
            </w:pPr>
            <w:r w:rsidRPr="003B29A4">
              <w:t>Bradgate Mental Health Unit, Glenfield Hospital</w:t>
            </w:r>
          </w:p>
        </w:tc>
      </w:tr>
      <w:tr w:rsidR="00AA4F14" w:rsidRPr="00414F83" w14:paraId="42DAA404" w14:textId="77777777" w:rsidTr="00ED459B">
        <w:trPr>
          <w:trHeight w:val="122"/>
        </w:trPr>
        <w:tc>
          <w:tcPr>
            <w:tcW w:w="10627" w:type="dxa"/>
            <w:gridSpan w:val="9"/>
            <w:shd w:val="clear" w:color="auto" w:fill="C1F0C7" w:themeFill="accent3" w:themeFillTint="33"/>
            <w:vAlign w:val="center"/>
          </w:tcPr>
          <w:p w14:paraId="64DE6522" w14:textId="4BB12ABA" w:rsidR="00AA4F14" w:rsidRPr="00414F83" w:rsidRDefault="00AA4F14" w:rsidP="00AA4F14">
            <w:pPr>
              <w:tabs>
                <w:tab w:val="left" w:pos="8002"/>
              </w:tabs>
              <w:rPr>
                <w:b/>
                <w:bCs/>
                <w:sz w:val="24"/>
                <w:szCs w:val="24"/>
              </w:rPr>
            </w:pPr>
            <w:r w:rsidRPr="00414F83">
              <w:rPr>
                <w:b/>
                <w:bCs/>
                <w:sz w:val="24"/>
                <w:szCs w:val="24"/>
              </w:rPr>
              <w:t>Main Duties</w:t>
            </w:r>
            <w:r w:rsidRPr="00414F83">
              <w:rPr>
                <w:b/>
                <w:bCs/>
                <w:sz w:val="24"/>
                <w:szCs w:val="24"/>
              </w:rPr>
              <w:tab/>
            </w:r>
          </w:p>
        </w:tc>
      </w:tr>
      <w:tr w:rsidR="00AA4F14" w14:paraId="65F5389A" w14:textId="77777777" w:rsidTr="0019070E">
        <w:trPr>
          <w:trHeight w:val="122"/>
        </w:trPr>
        <w:tc>
          <w:tcPr>
            <w:tcW w:w="10627" w:type="dxa"/>
            <w:gridSpan w:val="9"/>
          </w:tcPr>
          <w:p w14:paraId="7DBF7ED8" w14:textId="77777777" w:rsidR="00414F83" w:rsidRDefault="003B29A4" w:rsidP="0019070E">
            <w:r w:rsidRPr="003B29A4">
              <w:t>In this placement you will work within the multidisciplinary team covering Thornton Ward within the Bradgate Mental Health Unit. The work is weighted towards providing inpatient care, but you will get the experience of participating in 2 outpatient clinics at Maidstone Centre. This will involve seeing a new patient and working out the formulation and arriving at a diagnosis and management plan. This clinic will be supervised by a senior psychiatrist providing the opportunity to develop your skills, receive feedback and complete assessments. Along with a new patient you will see up to 2 follow up patients in one clinic session.</w:t>
            </w:r>
          </w:p>
          <w:p w14:paraId="02FA07F5" w14:textId="77777777" w:rsidR="003B29A4" w:rsidRDefault="003B29A4" w:rsidP="0019070E"/>
          <w:p w14:paraId="12C20CCA" w14:textId="77777777" w:rsidR="003B29A4" w:rsidRDefault="003B29A4" w:rsidP="003B29A4">
            <w:pPr>
              <w:spacing w:after="0" w:line="240" w:lineRule="auto"/>
            </w:pPr>
            <w:r>
              <w:t>You will attend handover meetings at the start of the day on Thornton ward.</w:t>
            </w:r>
          </w:p>
          <w:p w14:paraId="3971565C" w14:textId="77777777" w:rsidR="003B29A4" w:rsidRDefault="003B29A4" w:rsidP="003B29A4">
            <w:pPr>
              <w:spacing w:after="0" w:line="240" w:lineRule="auto"/>
            </w:pPr>
            <w:r>
              <w:t>You will have the opportunity to liaise with various members of the multidisciplinary team on the ward and within the community i.e., psychologists, community psychiatrists, social workers, and GP’s. You will also liaise with colleagues from Glenfield Hospital as appropriate, depending on the clinical needs of the patients.</w:t>
            </w:r>
          </w:p>
          <w:p w14:paraId="53745220" w14:textId="4C0ACB02" w:rsidR="003B29A4" w:rsidRDefault="003B29A4" w:rsidP="003B29A4">
            <w:r>
              <w:t>The ward duties will involve admitting patients, undertaking regular reviews of their mental state, communicating the clinical decisions, completing risk assessments, and undertaking physical health monitoring.</w:t>
            </w:r>
          </w:p>
          <w:p w14:paraId="771E4ECE" w14:textId="77777777" w:rsidR="003B29A4" w:rsidRDefault="003B29A4" w:rsidP="003B29A4"/>
          <w:p w14:paraId="14180237" w14:textId="2DFC8657" w:rsidR="003B29A4" w:rsidRDefault="003B29A4" w:rsidP="003B29A4">
            <w:r w:rsidRPr="003B29A4">
              <w:t>As part of your post, you will participate in the on-call Rota of the Bradgate Mental Health Unit, providing out-of-hours medical cover to the wards based at the Bradgate Unit. You will receive further information in relation to this at your inductions to the trust. The on calls will be approximately three times a month.</w:t>
            </w:r>
          </w:p>
          <w:p w14:paraId="4B686241" w14:textId="77777777" w:rsidR="003B29A4" w:rsidRDefault="003B29A4" w:rsidP="003B29A4"/>
          <w:p w14:paraId="580900A1" w14:textId="77777777" w:rsidR="003B29A4" w:rsidRDefault="003B29A4" w:rsidP="003B29A4">
            <w:pPr>
              <w:spacing w:after="0" w:line="240" w:lineRule="auto"/>
            </w:pPr>
            <w:r>
              <w:t>There will be an opportunity to gain experience of the legal aspects of mental health including use of the Mental Health Act. There may also be opportunities to attend associated management meetings to gain leadership and management experience if desirable.</w:t>
            </w:r>
          </w:p>
          <w:p w14:paraId="31FD4A71" w14:textId="6C69FFCB" w:rsidR="003B29A4" w:rsidRDefault="003B29A4" w:rsidP="003B29A4">
            <w:r>
              <w:t>You will receive regular supervision from your Clinical Supervisor and reflect on the learning that you have experienced, supporting your learning and development needs.</w:t>
            </w:r>
          </w:p>
          <w:p w14:paraId="2627F52B" w14:textId="6F04C28F" w:rsidR="003B29A4" w:rsidRDefault="003B29A4" w:rsidP="0019070E"/>
        </w:tc>
      </w:tr>
      <w:tr w:rsidR="004B64FC" w:rsidRPr="00414F83" w14:paraId="628B4B8D" w14:textId="77777777" w:rsidTr="00ED459B">
        <w:trPr>
          <w:trHeight w:val="122"/>
        </w:trPr>
        <w:tc>
          <w:tcPr>
            <w:tcW w:w="10627" w:type="dxa"/>
            <w:gridSpan w:val="9"/>
            <w:shd w:val="clear" w:color="auto" w:fill="C1F0C7" w:themeFill="accent3" w:themeFillTint="33"/>
            <w:vAlign w:val="center"/>
          </w:tcPr>
          <w:p w14:paraId="05993B79" w14:textId="520EF443" w:rsidR="004B64FC" w:rsidRPr="00414F83" w:rsidRDefault="004B64FC" w:rsidP="00AA4F14">
            <w:pPr>
              <w:rPr>
                <w:b/>
                <w:bCs/>
                <w:sz w:val="24"/>
                <w:szCs w:val="24"/>
              </w:rPr>
            </w:pPr>
            <w:r w:rsidRPr="00414F83">
              <w:rPr>
                <w:b/>
                <w:bCs/>
                <w:sz w:val="24"/>
                <w:szCs w:val="24"/>
              </w:rPr>
              <w:t>Example Timetable</w:t>
            </w:r>
          </w:p>
        </w:tc>
      </w:tr>
      <w:tr w:rsidR="004B64FC" w:rsidRPr="00414F83" w14:paraId="1992CB50" w14:textId="77777777" w:rsidTr="00ED459B">
        <w:trPr>
          <w:trHeight w:val="122"/>
        </w:trPr>
        <w:tc>
          <w:tcPr>
            <w:tcW w:w="10627" w:type="dxa"/>
            <w:gridSpan w:val="9"/>
            <w:shd w:val="clear" w:color="auto" w:fill="C1F0C7" w:themeFill="accent3" w:themeFillTint="33"/>
            <w:vAlign w:val="center"/>
          </w:tcPr>
          <w:p w14:paraId="1EFE370E" w14:textId="5978B9D4" w:rsidR="004B64FC" w:rsidRPr="00414F83" w:rsidRDefault="00B400E1" w:rsidP="00AA4F14">
            <w:pPr>
              <w:rPr>
                <w:b/>
                <w:bCs/>
                <w:sz w:val="24"/>
                <w:szCs w:val="24"/>
              </w:rPr>
            </w:pPr>
            <w:r w:rsidRPr="00414F83">
              <w:rPr>
                <w:b/>
                <w:bCs/>
                <w:sz w:val="24"/>
                <w:szCs w:val="24"/>
                <w:lang w:val="en-US"/>
              </w:rPr>
              <w:t>For example: W/R (Outpatients), MDT, Meetings, X-Ray Conference etc.</w:t>
            </w:r>
          </w:p>
        </w:tc>
      </w:tr>
      <w:tr w:rsidR="00B400E1" w:rsidRPr="00B400E1" w14:paraId="6BC91EF7" w14:textId="77777777" w:rsidTr="00414F83">
        <w:trPr>
          <w:trHeight w:val="92"/>
        </w:trPr>
        <w:tc>
          <w:tcPr>
            <w:tcW w:w="1502" w:type="dxa"/>
            <w:vAlign w:val="center"/>
          </w:tcPr>
          <w:p w14:paraId="452929D7" w14:textId="77777777" w:rsidR="00B400E1" w:rsidRPr="00B400E1" w:rsidRDefault="00B400E1" w:rsidP="00AA4F14">
            <w:pPr>
              <w:rPr>
                <w:sz w:val="24"/>
                <w:szCs w:val="24"/>
                <w:lang w:val="en-US"/>
              </w:rPr>
            </w:pPr>
          </w:p>
        </w:tc>
        <w:tc>
          <w:tcPr>
            <w:tcW w:w="1825" w:type="dxa"/>
            <w:shd w:val="clear" w:color="auto" w:fill="FFC000"/>
            <w:vAlign w:val="center"/>
          </w:tcPr>
          <w:p w14:paraId="57370807" w14:textId="4B3D2F6E" w:rsidR="00B400E1" w:rsidRPr="00F62F09" w:rsidRDefault="00B400E1" w:rsidP="00AA4F14">
            <w:pPr>
              <w:rPr>
                <w:b/>
                <w:bCs/>
                <w:sz w:val="24"/>
                <w:szCs w:val="24"/>
                <w:lang w:val="en-US"/>
              </w:rPr>
            </w:pPr>
            <w:r w:rsidRPr="00F62F09">
              <w:rPr>
                <w:b/>
                <w:bCs/>
                <w:sz w:val="24"/>
                <w:szCs w:val="24"/>
                <w:lang w:val="en-US"/>
              </w:rPr>
              <w:t>Mon</w:t>
            </w:r>
          </w:p>
        </w:tc>
        <w:tc>
          <w:tcPr>
            <w:tcW w:w="1825" w:type="dxa"/>
            <w:gridSpan w:val="3"/>
            <w:shd w:val="clear" w:color="auto" w:fill="FFC000"/>
            <w:vAlign w:val="center"/>
          </w:tcPr>
          <w:p w14:paraId="753BD619" w14:textId="31B011AC" w:rsidR="00B400E1" w:rsidRPr="00F62F09" w:rsidRDefault="00B400E1" w:rsidP="00AA4F14">
            <w:pPr>
              <w:rPr>
                <w:b/>
                <w:bCs/>
                <w:sz w:val="24"/>
                <w:szCs w:val="24"/>
                <w:lang w:val="en-US"/>
              </w:rPr>
            </w:pPr>
            <w:r w:rsidRPr="00F62F09">
              <w:rPr>
                <w:b/>
                <w:bCs/>
                <w:sz w:val="24"/>
                <w:szCs w:val="24"/>
                <w:lang w:val="en-US"/>
              </w:rPr>
              <w:t>Tues</w:t>
            </w:r>
          </w:p>
        </w:tc>
        <w:tc>
          <w:tcPr>
            <w:tcW w:w="1825" w:type="dxa"/>
            <w:gridSpan w:val="2"/>
            <w:shd w:val="clear" w:color="auto" w:fill="FFC000"/>
            <w:vAlign w:val="center"/>
          </w:tcPr>
          <w:p w14:paraId="139169F5" w14:textId="66BE844D" w:rsidR="00B400E1" w:rsidRPr="00F62F09" w:rsidRDefault="00B400E1" w:rsidP="00AA4F14">
            <w:pPr>
              <w:rPr>
                <w:b/>
                <w:bCs/>
                <w:sz w:val="24"/>
                <w:szCs w:val="24"/>
                <w:lang w:val="en-US"/>
              </w:rPr>
            </w:pPr>
            <w:r w:rsidRPr="00F62F09">
              <w:rPr>
                <w:b/>
                <w:bCs/>
                <w:sz w:val="24"/>
                <w:szCs w:val="24"/>
                <w:lang w:val="en-US"/>
              </w:rPr>
              <w:t>Weds</w:t>
            </w:r>
          </w:p>
        </w:tc>
        <w:tc>
          <w:tcPr>
            <w:tcW w:w="1825" w:type="dxa"/>
            <w:shd w:val="clear" w:color="auto" w:fill="FFC000"/>
            <w:vAlign w:val="center"/>
          </w:tcPr>
          <w:p w14:paraId="4C9A8CA2" w14:textId="37EC474D" w:rsidR="00B400E1" w:rsidRPr="00F62F09" w:rsidRDefault="00B400E1" w:rsidP="00AA4F14">
            <w:pPr>
              <w:rPr>
                <w:b/>
                <w:bCs/>
                <w:sz w:val="24"/>
                <w:szCs w:val="24"/>
                <w:lang w:val="en-US"/>
              </w:rPr>
            </w:pPr>
            <w:r w:rsidRPr="00F62F09">
              <w:rPr>
                <w:b/>
                <w:bCs/>
                <w:sz w:val="24"/>
                <w:szCs w:val="24"/>
                <w:lang w:val="en-US"/>
              </w:rPr>
              <w:t>Thurs</w:t>
            </w:r>
          </w:p>
        </w:tc>
        <w:tc>
          <w:tcPr>
            <w:tcW w:w="1825" w:type="dxa"/>
            <w:shd w:val="clear" w:color="auto" w:fill="FFC000"/>
            <w:vAlign w:val="center"/>
          </w:tcPr>
          <w:p w14:paraId="044BD222" w14:textId="7977253E" w:rsidR="00B400E1" w:rsidRPr="00F62F09" w:rsidRDefault="00B400E1" w:rsidP="00AA4F14">
            <w:pPr>
              <w:rPr>
                <w:b/>
                <w:bCs/>
                <w:sz w:val="24"/>
                <w:szCs w:val="24"/>
                <w:lang w:val="en-US"/>
              </w:rPr>
            </w:pPr>
            <w:r w:rsidRPr="00F62F09">
              <w:rPr>
                <w:b/>
                <w:bCs/>
                <w:sz w:val="24"/>
                <w:szCs w:val="24"/>
                <w:lang w:val="en-US"/>
              </w:rPr>
              <w:t>Fri</w:t>
            </w:r>
          </w:p>
        </w:tc>
      </w:tr>
      <w:tr w:rsidR="00B400E1" w:rsidRPr="00B400E1" w14:paraId="22EEE590" w14:textId="77777777" w:rsidTr="00920112">
        <w:trPr>
          <w:trHeight w:val="90"/>
        </w:trPr>
        <w:tc>
          <w:tcPr>
            <w:tcW w:w="1502" w:type="dxa"/>
            <w:shd w:val="clear" w:color="auto" w:fill="FFC000"/>
            <w:vAlign w:val="center"/>
          </w:tcPr>
          <w:p w14:paraId="47506226" w14:textId="6E9636DB" w:rsidR="00B400E1" w:rsidRPr="00F62F09" w:rsidRDefault="00B400E1" w:rsidP="00AA4F14">
            <w:pPr>
              <w:rPr>
                <w:b/>
                <w:bCs/>
                <w:sz w:val="24"/>
                <w:szCs w:val="24"/>
                <w:lang w:val="en-US"/>
              </w:rPr>
            </w:pPr>
            <w:r w:rsidRPr="00F62F09">
              <w:rPr>
                <w:b/>
                <w:bCs/>
                <w:sz w:val="24"/>
                <w:szCs w:val="24"/>
                <w:lang w:val="en-US"/>
              </w:rPr>
              <w:t>AM</w:t>
            </w:r>
          </w:p>
        </w:tc>
        <w:tc>
          <w:tcPr>
            <w:tcW w:w="1825" w:type="dxa"/>
            <w:vAlign w:val="center"/>
          </w:tcPr>
          <w:p w14:paraId="71D21515" w14:textId="62E9E18A" w:rsidR="00B400E1" w:rsidRPr="0019070E" w:rsidRDefault="003B29A4" w:rsidP="00920112">
            <w:pPr>
              <w:jc w:val="center"/>
              <w:rPr>
                <w:lang w:val="en-US"/>
              </w:rPr>
            </w:pPr>
            <w:r w:rsidRPr="003B29A4">
              <w:rPr>
                <w:lang w:val="en-US"/>
              </w:rPr>
              <w:t>Ward Review Handover &amp; Ward Rounds</w:t>
            </w:r>
          </w:p>
        </w:tc>
        <w:tc>
          <w:tcPr>
            <w:tcW w:w="1825" w:type="dxa"/>
            <w:gridSpan w:val="3"/>
            <w:vAlign w:val="center"/>
          </w:tcPr>
          <w:p w14:paraId="237FB932" w14:textId="1B900731" w:rsidR="00B400E1" w:rsidRPr="0019070E" w:rsidRDefault="003B29A4" w:rsidP="00920112">
            <w:pPr>
              <w:jc w:val="center"/>
              <w:rPr>
                <w:lang w:val="en-US"/>
              </w:rPr>
            </w:pPr>
            <w:r w:rsidRPr="003B29A4">
              <w:rPr>
                <w:lang w:val="en-US"/>
              </w:rPr>
              <w:t>Ward Work</w:t>
            </w:r>
          </w:p>
        </w:tc>
        <w:tc>
          <w:tcPr>
            <w:tcW w:w="1825" w:type="dxa"/>
            <w:gridSpan w:val="2"/>
            <w:vAlign w:val="center"/>
          </w:tcPr>
          <w:p w14:paraId="75F082A9" w14:textId="153E7959" w:rsidR="00B400E1" w:rsidRPr="0019070E" w:rsidRDefault="003B29A4" w:rsidP="00920112">
            <w:pPr>
              <w:jc w:val="center"/>
              <w:rPr>
                <w:lang w:val="en-US"/>
              </w:rPr>
            </w:pPr>
            <w:r w:rsidRPr="003B29A4">
              <w:rPr>
                <w:lang w:val="en-US"/>
              </w:rPr>
              <w:t>Ward Round &amp; Handover</w:t>
            </w:r>
          </w:p>
        </w:tc>
        <w:tc>
          <w:tcPr>
            <w:tcW w:w="1825" w:type="dxa"/>
            <w:vAlign w:val="center"/>
          </w:tcPr>
          <w:p w14:paraId="26D182E2" w14:textId="37322651" w:rsidR="00B400E1" w:rsidRPr="0019070E" w:rsidRDefault="003B29A4" w:rsidP="00920112">
            <w:pPr>
              <w:jc w:val="center"/>
              <w:rPr>
                <w:lang w:val="en-US"/>
              </w:rPr>
            </w:pPr>
            <w:r w:rsidRPr="003B29A4">
              <w:rPr>
                <w:lang w:val="en-US"/>
              </w:rPr>
              <w:t>Clinic- Maidstone Centre</w:t>
            </w:r>
          </w:p>
        </w:tc>
        <w:tc>
          <w:tcPr>
            <w:tcW w:w="1825" w:type="dxa"/>
            <w:vAlign w:val="center"/>
          </w:tcPr>
          <w:p w14:paraId="4145843D" w14:textId="3EF59B24" w:rsidR="00B400E1" w:rsidRPr="0019070E" w:rsidRDefault="00A229CC" w:rsidP="00920112">
            <w:pPr>
              <w:jc w:val="center"/>
              <w:rPr>
                <w:lang w:val="en-US"/>
              </w:rPr>
            </w:pPr>
            <w:r w:rsidRPr="00A229CC">
              <w:rPr>
                <w:lang w:val="en-US"/>
              </w:rPr>
              <w:t>Ward Reviews/Academy Teaching</w:t>
            </w:r>
          </w:p>
        </w:tc>
      </w:tr>
      <w:tr w:rsidR="00B400E1" w:rsidRPr="00B400E1" w14:paraId="3A29B13D" w14:textId="77777777" w:rsidTr="00920112">
        <w:trPr>
          <w:trHeight w:val="90"/>
        </w:trPr>
        <w:tc>
          <w:tcPr>
            <w:tcW w:w="1502" w:type="dxa"/>
            <w:shd w:val="clear" w:color="auto" w:fill="FFC000"/>
            <w:vAlign w:val="center"/>
          </w:tcPr>
          <w:p w14:paraId="5EBAED90" w14:textId="31253D87" w:rsidR="00B400E1" w:rsidRPr="00F62F09" w:rsidRDefault="00B400E1" w:rsidP="00AA4F14">
            <w:pPr>
              <w:rPr>
                <w:b/>
                <w:bCs/>
                <w:sz w:val="24"/>
                <w:szCs w:val="24"/>
                <w:lang w:val="en-US"/>
              </w:rPr>
            </w:pPr>
            <w:r w:rsidRPr="00F62F09">
              <w:rPr>
                <w:b/>
                <w:bCs/>
                <w:sz w:val="24"/>
                <w:szCs w:val="24"/>
                <w:lang w:val="en-US"/>
              </w:rPr>
              <w:t>Lunchtime</w:t>
            </w:r>
          </w:p>
        </w:tc>
        <w:tc>
          <w:tcPr>
            <w:tcW w:w="1825" w:type="dxa"/>
            <w:vAlign w:val="center"/>
          </w:tcPr>
          <w:p w14:paraId="4438905E" w14:textId="77777777" w:rsidR="00B400E1" w:rsidRPr="0019070E" w:rsidRDefault="00B400E1" w:rsidP="00920112">
            <w:pPr>
              <w:jc w:val="center"/>
              <w:rPr>
                <w:lang w:val="en-US"/>
              </w:rPr>
            </w:pPr>
          </w:p>
        </w:tc>
        <w:tc>
          <w:tcPr>
            <w:tcW w:w="1825" w:type="dxa"/>
            <w:gridSpan w:val="3"/>
            <w:vAlign w:val="center"/>
          </w:tcPr>
          <w:p w14:paraId="490744EF" w14:textId="6EDE2145" w:rsidR="00B400E1" w:rsidRPr="0019070E" w:rsidRDefault="003B29A4" w:rsidP="00920112">
            <w:pPr>
              <w:jc w:val="center"/>
              <w:rPr>
                <w:lang w:val="en-US"/>
              </w:rPr>
            </w:pPr>
            <w:r w:rsidRPr="003B29A4">
              <w:rPr>
                <w:lang w:val="en-US"/>
              </w:rPr>
              <w:t>Journal Club Teaching</w:t>
            </w:r>
          </w:p>
        </w:tc>
        <w:tc>
          <w:tcPr>
            <w:tcW w:w="1825" w:type="dxa"/>
            <w:gridSpan w:val="2"/>
            <w:vAlign w:val="center"/>
          </w:tcPr>
          <w:p w14:paraId="36EC560C" w14:textId="2CAE12EF" w:rsidR="00B400E1" w:rsidRPr="0019070E" w:rsidRDefault="003B29A4" w:rsidP="00920112">
            <w:pPr>
              <w:jc w:val="center"/>
              <w:rPr>
                <w:lang w:val="en-US"/>
              </w:rPr>
            </w:pPr>
            <w:r w:rsidRPr="003B29A4">
              <w:rPr>
                <w:lang w:val="en-US"/>
              </w:rPr>
              <w:t>Foundation Teaching</w:t>
            </w:r>
          </w:p>
        </w:tc>
        <w:tc>
          <w:tcPr>
            <w:tcW w:w="1825" w:type="dxa"/>
            <w:vAlign w:val="center"/>
          </w:tcPr>
          <w:p w14:paraId="23ADE04E" w14:textId="77777777" w:rsidR="00B400E1" w:rsidRPr="0019070E" w:rsidRDefault="00B400E1" w:rsidP="00920112">
            <w:pPr>
              <w:jc w:val="center"/>
              <w:rPr>
                <w:lang w:val="en-US"/>
              </w:rPr>
            </w:pPr>
          </w:p>
        </w:tc>
        <w:tc>
          <w:tcPr>
            <w:tcW w:w="1825" w:type="dxa"/>
            <w:vAlign w:val="center"/>
          </w:tcPr>
          <w:p w14:paraId="41E99C9B" w14:textId="2EF1A41A" w:rsidR="00B400E1" w:rsidRPr="0019070E" w:rsidRDefault="00A229CC" w:rsidP="00920112">
            <w:pPr>
              <w:jc w:val="center"/>
              <w:rPr>
                <w:lang w:val="en-US"/>
              </w:rPr>
            </w:pPr>
            <w:r w:rsidRPr="00A229CC">
              <w:rPr>
                <w:lang w:val="en-US"/>
              </w:rPr>
              <w:t>Academic Teaching</w:t>
            </w:r>
          </w:p>
        </w:tc>
      </w:tr>
      <w:tr w:rsidR="00B400E1" w:rsidRPr="00B400E1" w14:paraId="46E34E3F" w14:textId="77777777" w:rsidTr="00920112">
        <w:trPr>
          <w:trHeight w:val="90"/>
        </w:trPr>
        <w:tc>
          <w:tcPr>
            <w:tcW w:w="1502" w:type="dxa"/>
            <w:shd w:val="clear" w:color="auto" w:fill="FFC000"/>
            <w:vAlign w:val="center"/>
          </w:tcPr>
          <w:p w14:paraId="4881E41F" w14:textId="74267327" w:rsidR="00B400E1" w:rsidRPr="00F62F09" w:rsidRDefault="00B400E1" w:rsidP="00AA4F14">
            <w:pPr>
              <w:rPr>
                <w:b/>
                <w:bCs/>
                <w:sz w:val="24"/>
                <w:szCs w:val="24"/>
                <w:lang w:val="en-US"/>
              </w:rPr>
            </w:pPr>
            <w:r w:rsidRPr="00F62F09">
              <w:rPr>
                <w:b/>
                <w:bCs/>
                <w:sz w:val="24"/>
                <w:szCs w:val="24"/>
                <w:lang w:val="en-US"/>
              </w:rPr>
              <w:t>PM</w:t>
            </w:r>
          </w:p>
        </w:tc>
        <w:tc>
          <w:tcPr>
            <w:tcW w:w="1825" w:type="dxa"/>
            <w:vAlign w:val="center"/>
          </w:tcPr>
          <w:p w14:paraId="3A195FB0" w14:textId="4304FFE9" w:rsidR="00B400E1" w:rsidRPr="0019070E" w:rsidRDefault="003B29A4" w:rsidP="00920112">
            <w:pPr>
              <w:jc w:val="center"/>
              <w:rPr>
                <w:lang w:val="en-US"/>
              </w:rPr>
            </w:pPr>
            <w:r w:rsidRPr="003B29A4">
              <w:rPr>
                <w:lang w:val="en-US"/>
              </w:rPr>
              <w:t>Clinic – Maidstone Centre and supervision</w:t>
            </w:r>
          </w:p>
        </w:tc>
        <w:tc>
          <w:tcPr>
            <w:tcW w:w="1825" w:type="dxa"/>
            <w:gridSpan w:val="3"/>
            <w:vAlign w:val="center"/>
          </w:tcPr>
          <w:p w14:paraId="7A78C863" w14:textId="791C19B1" w:rsidR="00B400E1" w:rsidRPr="0019070E" w:rsidRDefault="003B29A4" w:rsidP="00920112">
            <w:pPr>
              <w:jc w:val="center"/>
              <w:rPr>
                <w:lang w:val="en-US"/>
              </w:rPr>
            </w:pPr>
            <w:r w:rsidRPr="003B29A4">
              <w:rPr>
                <w:lang w:val="en-US"/>
              </w:rPr>
              <w:t>Ward Work</w:t>
            </w:r>
          </w:p>
        </w:tc>
        <w:tc>
          <w:tcPr>
            <w:tcW w:w="1825" w:type="dxa"/>
            <w:gridSpan w:val="2"/>
            <w:vAlign w:val="center"/>
          </w:tcPr>
          <w:p w14:paraId="06AC7BEC" w14:textId="73789A50" w:rsidR="00B400E1" w:rsidRPr="0019070E" w:rsidRDefault="003B29A4" w:rsidP="00920112">
            <w:pPr>
              <w:jc w:val="center"/>
              <w:rPr>
                <w:lang w:val="en-US"/>
              </w:rPr>
            </w:pPr>
            <w:r w:rsidRPr="003B29A4">
              <w:rPr>
                <w:lang w:val="en-US"/>
              </w:rPr>
              <w:t>Ward Work</w:t>
            </w:r>
          </w:p>
        </w:tc>
        <w:tc>
          <w:tcPr>
            <w:tcW w:w="1825" w:type="dxa"/>
            <w:vAlign w:val="center"/>
          </w:tcPr>
          <w:p w14:paraId="221ACD40" w14:textId="2530108F" w:rsidR="00B400E1" w:rsidRPr="0019070E" w:rsidRDefault="00A229CC" w:rsidP="00920112">
            <w:pPr>
              <w:jc w:val="center"/>
              <w:rPr>
                <w:lang w:val="en-US"/>
              </w:rPr>
            </w:pPr>
            <w:r w:rsidRPr="00A229CC">
              <w:rPr>
                <w:lang w:val="en-US"/>
              </w:rPr>
              <w:t>Ward Work or CMHT team meeting</w:t>
            </w:r>
          </w:p>
        </w:tc>
        <w:tc>
          <w:tcPr>
            <w:tcW w:w="1825" w:type="dxa"/>
            <w:vAlign w:val="center"/>
          </w:tcPr>
          <w:p w14:paraId="7940D2C8" w14:textId="5139559B" w:rsidR="00B400E1" w:rsidRPr="0019070E" w:rsidRDefault="00A229CC" w:rsidP="00587376">
            <w:pPr>
              <w:jc w:val="center"/>
              <w:rPr>
                <w:lang w:val="en-US"/>
              </w:rPr>
            </w:pPr>
            <w:r w:rsidRPr="00A229CC">
              <w:rPr>
                <w:lang w:val="en-US"/>
              </w:rPr>
              <w:t>Audit/ Ward work</w:t>
            </w:r>
          </w:p>
        </w:tc>
      </w:tr>
      <w:tr w:rsidR="008229C7" w:rsidRPr="00414F83" w14:paraId="4A6611C0" w14:textId="77777777" w:rsidTr="00414F83">
        <w:trPr>
          <w:trHeight w:val="90"/>
        </w:trPr>
        <w:tc>
          <w:tcPr>
            <w:tcW w:w="10627" w:type="dxa"/>
            <w:gridSpan w:val="9"/>
            <w:shd w:val="clear" w:color="auto" w:fill="C1F0C7" w:themeFill="accent3" w:themeFillTint="33"/>
            <w:vAlign w:val="center"/>
          </w:tcPr>
          <w:p w14:paraId="4BEFD25D" w14:textId="5FDD68CA" w:rsidR="008229C7" w:rsidRPr="00414F83" w:rsidRDefault="008229C7" w:rsidP="00AA4F14">
            <w:pPr>
              <w:rPr>
                <w:b/>
                <w:bCs/>
                <w:sz w:val="24"/>
                <w:szCs w:val="24"/>
                <w:lang w:val="en-US"/>
              </w:rPr>
            </w:pPr>
            <w:r w:rsidRPr="00414F83">
              <w:rPr>
                <w:b/>
                <w:bCs/>
                <w:sz w:val="24"/>
                <w:szCs w:val="24"/>
                <w:lang w:val="en-US"/>
              </w:rPr>
              <w:lastRenderedPageBreak/>
              <w:t>Educational Activities:</w:t>
            </w:r>
          </w:p>
        </w:tc>
      </w:tr>
      <w:tr w:rsidR="008229C7" w:rsidRPr="00B400E1" w14:paraId="3E34C669" w14:textId="77777777" w:rsidTr="0019070E">
        <w:trPr>
          <w:trHeight w:val="90"/>
        </w:trPr>
        <w:tc>
          <w:tcPr>
            <w:tcW w:w="10627" w:type="dxa"/>
            <w:gridSpan w:val="9"/>
          </w:tcPr>
          <w:p w14:paraId="19F10956" w14:textId="77777777" w:rsidR="008229C7" w:rsidRDefault="008229C7" w:rsidP="0019070E">
            <w:pPr>
              <w:rPr>
                <w:sz w:val="24"/>
                <w:szCs w:val="24"/>
                <w:lang w:val="en-US"/>
              </w:rPr>
            </w:pPr>
          </w:p>
          <w:p w14:paraId="2E1F5CDC" w14:textId="77777777" w:rsidR="00414F83" w:rsidRDefault="00A229CC" w:rsidP="0019070E">
            <w:pPr>
              <w:rPr>
                <w:sz w:val="24"/>
                <w:szCs w:val="24"/>
                <w:lang w:val="en-US"/>
              </w:rPr>
            </w:pPr>
            <w:r w:rsidRPr="00A229CC">
              <w:rPr>
                <w:sz w:val="24"/>
                <w:szCs w:val="24"/>
                <w:lang w:val="en-US"/>
              </w:rPr>
              <w:t>You will receive face to face weekly supervision with your Clinical Supervisor, lasting one hour. You will be expected to attend weekly journal club case conference and the Friday lunchtime academic meeting with teaching on a variety of topics.</w:t>
            </w:r>
          </w:p>
          <w:p w14:paraId="47AB472B" w14:textId="77777777" w:rsidR="00A229CC" w:rsidRDefault="00A229CC" w:rsidP="0019070E">
            <w:pPr>
              <w:rPr>
                <w:sz w:val="24"/>
                <w:szCs w:val="24"/>
                <w:lang w:val="en-US"/>
              </w:rPr>
            </w:pPr>
          </w:p>
          <w:p w14:paraId="0D749CC2" w14:textId="25CD761F" w:rsidR="00A229CC" w:rsidRDefault="00A229CC" w:rsidP="0019070E">
            <w:pPr>
              <w:rPr>
                <w:sz w:val="24"/>
                <w:szCs w:val="24"/>
                <w:lang w:val="en-US"/>
              </w:rPr>
            </w:pPr>
            <w:r w:rsidRPr="00A229CC">
              <w:rPr>
                <w:sz w:val="24"/>
                <w:szCs w:val="24"/>
                <w:lang w:val="en-US"/>
              </w:rPr>
              <w:t>There will be opportunities for clinical audit, ECT participation and you will be able to attend all mandatory FY teaching.</w:t>
            </w:r>
          </w:p>
          <w:p w14:paraId="01FA2998" w14:textId="77777777" w:rsidR="00A229CC" w:rsidRDefault="00A229CC" w:rsidP="0019070E">
            <w:pPr>
              <w:rPr>
                <w:sz w:val="24"/>
                <w:szCs w:val="24"/>
                <w:lang w:val="en-US"/>
              </w:rPr>
            </w:pPr>
          </w:p>
          <w:p w14:paraId="73E89F50" w14:textId="6777B908" w:rsidR="00A229CC" w:rsidRPr="00B400E1" w:rsidRDefault="00A229CC" w:rsidP="0019070E">
            <w:pPr>
              <w:rPr>
                <w:sz w:val="24"/>
                <w:szCs w:val="24"/>
                <w:lang w:val="en-US"/>
              </w:rPr>
            </w:pPr>
          </w:p>
        </w:tc>
      </w:tr>
      <w:tr w:rsidR="008229C7" w:rsidRPr="00414F83" w14:paraId="6ABD4C68" w14:textId="77777777" w:rsidTr="00414F83">
        <w:trPr>
          <w:trHeight w:val="90"/>
        </w:trPr>
        <w:tc>
          <w:tcPr>
            <w:tcW w:w="10627" w:type="dxa"/>
            <w:gridSpan w:val="9"/>
            <w:shd w:val="clear" w:color="auto" w:fill="C1F0C7" w:themeFill="accent3" w:themeFillTint="33"/>
            <w:vAlign w:val="center"/>
          </w:tcPr>
          <w:p w14:paraId="30168371" w14:textId="33ADECBC" w:rsidR="008229C7" w:rsidRPr="00414F83" w:rsidRDefault="008229C7" w:rsidP="00AA4F14">
            <w:pPr>
              <w:rPr>
                <w:b/>
                <w:bCs/>
                <w:sz w:val="24"/>
                <w:szCs w:val="24"/>
                <w:lang w:val="en-US"/>
              </w:rPr>
            </w:pPr>
            <w:r w:rsidRPr="00414F83">
              <w:rPr>
                <w:b/>
                <w:bCs/>
                <w:sz w:val="24"/>
                <w:szCs w:val="24"/>
                <w:lang w:val="en-US"/>
              </w:rPr>
              <w:t>Other Comments (if appropriate):</w:t>
            </w:r>
          </w:p>
        </w:tc>
      </w:tr>
      <w:tr w:rsidR="008229C7" w:rsidRPr="00B400E1" w14:paraId="3960310A" w14:textId="77777777" w:rsidTr="0019070E">
        <w:trPr>
          <w:trHeight w:val="90"/>
        </w:trPr>
        <w:tc>
          <w:tcPr>
            <w:tcW w:w="10627" w:type="dxa"/>
            <w:gridSpan w:val="9"/>
          </w:tcPr>
          <w:p w14:paraId="27BE133D" w14:textId="05FD7ADE" w:rsidR="00414F83" w:rsidRDefault="00A229CC" w:rsidP="0019070E">
            <w:pPr>
              <w:rPr>
                <w:sz w:val="24"/>
                <w:szCs w:val="24"/>
                <w:lang w:val="en-US"/>
              </w:rPr>
            </w:pPr>
            <w:r w:rsidRPr="00A229CC">
              <w:rPr>
                <w:sz w:val="24"/>
                <w:szCs w:val="24"/>
                <w:lang w:val="en-US"/>
              </w:rPr>
              <w:t>Leicestershire Partnership Trust places a keen focus on the education and training of junior doctors. This post will provide excellent opportunity to develop your clinical skills and competencies, ensuring you meet the objectives set in the foundation training curriculum.</w:t>
            </w:r>
          </w:p>
          <w:p w14:paraId="1A97765C" w14:textId="77777777" w:rsidR="00A229CC" w:rsidRDefault="00A229CC" w:rsidP="0019070E">
            <w:pPr>
              <w:rPr>
                <w:sz w:val="24"/>
                <w:szCs w:val="24"/>
                <w:lang w:val="en-US"/>
              </w:rPr>
            </w:pPr>
          </w:p>
          <w:p w14:paraId="2AE21CD7" w14:textId="1984C616" w:rsidR="00A229CC" w:rsidRDefault="00A229CC" w:rsidP="0019070E">
            <w:pPr>
              <w:rPr>
                <w:sz w:val="24"/>
                <w:szCs w:val="24"/>
                <w:lang w:val="en-US"/>
              </w:rPr>
            </w:pPr>
            <w:r w:rsidRPr="00A229CC">
              <w:rPr>
                <w:sz w:val="24"/>
                <w:szCs w:val="24"/>
                <w:lang w:val="en-US"/>
              </w:rPr>
              <w:t>Working within general adult psychiatry, you will have the opportunity of assessing and treating patients with a range of physical and mental health needs in both hospital and community settings. With the treatment focusing on the whole of the patient, you will gain an insight into holistic healthcare and the increasing importance of managing chronic health problems in the community, closely allied with the objective of the Foundation Curriculum.</w:t>
            </w:r>
          </w:p>
          <w:p w14:paraId="28FCA214" w14:textId="77777777" w:rsidR="00A229CC" w:rsidRDefault="00A229CC" w:rsidP="0019070E">
            <w:pPr>
              <w:rPr>
                <w:sz w:val="24"/>
                <w:szCs w:val="24"/>
                <w:lang w:val="en-US"/>
              </w:rPr>
            </w:pPr>
          </w:p>
          <w:p w14:paraId="24ECBCB6" w14:textId="77777777" w:rsidR="00414F83" w:rsidRDefault="00A229CC" w:rsidP="0019070E">
            <w:pPr>
              <w:rPr>
                <w:sz w:val="24"/>
                <w:szCs w:val="24"/>
                <w:lang w:val="en-US"/>
              </w:rPr>
            </w:pPr>
            <w:r w:rsidRPr="00A229CC">
              <w:rPr>
                <w:sz w:val="24"/>
                <w:szCs w:val="24"/>
                <w:lang w:val="en-US"/>
              </w:rPr>
              <w:t xml:space="preserve">With excellent senior support, including an hour of clinical supervision with a named clinical supervisor per week, we will support you in our in-house Academic Programme. We will ensure that you are exposed to multidisciplinary team working, with the patient at the </w:t>
            </w:r>
            <w:proofErr w:type="spellStart"/>
            <w:r w:rsidRPr="00A229CC">
              <w:rPr>
                <w:sz w:val="24"/>
                <w:szCs w:val="24"/>
                <w:lang w:val="en-US"/>
              </w:rPr>
              <w:t>centre</w:t>
            </w:r>
            <w:proofErr w:type="spellEnd"/>
            <w:r w:rsidRPr="00A229CC">
              <w:rPr>
                <w:sz w:val="24"/>
                <w:szCs w:val="24"/>
                <w:lang w:val="en-US"/>
              </w:rPr>
              <w:t xml:space="preserve"> of the care and where possible will offer the opportunity for exploring special interests in this field.</w:t>
            </w:r>
          </w:p>
          <w:p w14:paraId="3441062E" w14:textId="77777777" w:rsidR="00A229CC" w:rsidRDefault="00A229CC" w:rsidP="0019070E">
            <w:pPr>
              <w:rPr>
                <w:sz w:val="24"/>
                <w:szCs w:val="24"/>
                <w:lang w:val="en-US"/>
              </w:rPr>
            </w:pPr>
          </w:p>
          <w:p w14:paraId="739D839B" w14:textId="16AF48DC" w:rsidR="00A229CC" w:rsidRDefault="00A229CC" w:rsidP="0019070E">
            <w:pPr>
              <w:rPr>
                <w:sz w:val="24"/>
                <w:szCs w:val="24"/>
                <w:lang w:val="en-US"/>
              </w:rPr>
            </w:pPr>
            <w:r w:rsidRPr="00A229CC">
              <w:rPr>
                <w:sz w:val="24"/>
                <w:szCs w:val="24"/>
                <w:lang w:val="en-US"/>
              </w:rPr>
              <w:t>Along with developing your knowledge and treatment of both mental and physical disorders, you will have the opportunity to expand on a wide range of skills that will be applicable across multiple domains of medicine. This may include experience in leadership and communication skills.</w:t>
            </w:r>
          </w:p>
          <w:p w14:paraId="316CE37E" w14:textId="63C4140C" w:rsidR="00A229CC" w:rsidRPr="00B400E1" w:rsidRDefault="00A229CC" w:rsidP="0019070E">
            <w:pPr>
              <w:rPr>
                <w:sz w:val="24"/>
                <w:szCs w:val="24"/>
                <w:lang w:val="en-US"/>
              </w:rPr>
            </w:pPr>
          </w:p>
        </w:tc>
      </w:tr>
      <w:tr w:rsidR="006A4C99" w:rsidRPr="00B400E1" w14:paraId="753E3081" w14:textId="77777777" w:rsidTr="00414F83">
        <w:trPr>
          <w:trHeight w:val="482"/>
        </w:trPr>
        <w:tc>
          <w:tcPr>
            <w:tcW w:w="10627" w:type="dxa"/>
            <w:gridSpan w:val="9"/>
            <w:shd w:val="clear" w:color="auto" w:fill="FFFF00"/>
            <w:vAlign w:val="center"/>
          </w:tcPr>
          <w:p w14:paraId="3387A127" w14:textId="29DE805F" w:rsidR="006A4C99" w:rsidRPr="00B400E1" w:rsidRDefault="00F62F09" w:rsidP="00F62F09">
            <w:pPr>
              <w:jc w:val="center"/>
              <w:rPr>
                <w:sz w:val="24"/>
                <w:szCs w:val="24"/>
                <w:lang w:val="en-US"/>
              </w:rPr>
            </w:pPr>
            <w:r w:rsidRPr="00302740">
              <w:rPr>
                <w:b/>
                <w:bCs/>
                <w:color w:val="C00000"/>
                <w:sz w:val="24"/>
                <w:szCs w:val="24"/>
                <w:lang w:val="en-US"/>
              </w:rPr>
              <w:t xml:space="preserve">Disclaimer: </w:t>
            </w:r>
            <w:r w:rsidRPr="00302740">
              <w:rPr>
                <w:color w:val="C00000"/>
                <w:sz w:val="24"/>
                <w:szCs w:val="24"/>
                <w:lang w:val="en-US"/>
              </w:rPr>
              <w:t>Please note that the placement information provided is subject to change.</w:t>
            </w:r>
          </w:p>
        </w:tc>
      </w:tr>
    </w:tbl>
    <w:p w14:paraId="16DA05DB" w14:textId="77777777" w:rsidR="00FA0C57" w:rsidRDefault="00FA0C57"/>
    <w:p w14:paraId="4D4C0286" w14:textId="77777777" w:rsidR="0007118D" w:rsidRPr="0007118D" w:rsidRDefault="0007118D" w:rsidP="00587376"/>
    <w:sectPr w:rsidR="0007118D" w:rsidRPr="0007118D" w:rsidSect="00F62F09">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D6922" w14:textId="77777777" w:rsidR="00F26028" w:rsidRDefault="00F26028" w:rsidP="0007118D">
      <w:pPr>
        <w:spacing w:after="0" w:line="240" w:lineRule="auto"/>
      </w:pPr>
      <w:r>
        <w:separator/>
      </w:r>
    </w:p>
  </w:endnote>
  <w:endnote w:type="continuationSeparator" w:id="0">
    <w:p w14:paraId="4BE4CA04" w14:textId="77777777" w:rsidR="00F26028" w:rsidRDefault="00F26028" w:rsidP="00071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389329"/>
      <w:docPartObj>
        <w:docPartGallery w:val="Page Numbers (Bottom of Page)"/>
        <w:docPartUnique/>
      </w:docPartObj>
    </w:sdtPr>
    <w:sdtEndPr/>
    <w:sdtContent>
      <w:sdt>
        <w:sdtPr>
          <w:id w:val="1728636285"/>
          <w:docPartObj>
            <w:docPartGallery w:val="Page Numbers (Top of Page)"/>
            <w:docPartUnique/>
          </w:docPartObj>
        </w:sdtPr>
        <w:sdtEndPr/>
        <w:sdtContent>
          <w:p w14:paraId="0EF37E13" w14:textId="40CE8FA5" w:rsidR="0007118D" w:rsidRDefault="0007118D">
            <w:pPr>
              <w:pStyle w:val="Footer"/>
              <w:jc w:val="center"/>
            </w:pPr>
            <w:r w:rsidRPr="0007118D">
              <w:rPr>
                <w:sz w:val="20"/>
                <w:szCs w:val="20"/>
              </w:rPr>
              <w:t xml:space="preserve">Page </w:t>
            </w:r>
            <w:r w:rsidRPr="0007118D">
              <w:rPr>
                <w:b/>
                <w:bCs/>
                <w:sz w:val="20"/>
                <w:szCs w:val="20"/>
              </w:rPr>
              <w:fldChar w:fldCharType="begin"/>
            </w:r>
            <w:r w:rsidRPr="0007118D">
              <w:rPr>
                <w:b/>
                <w:bCs/>
                <w:sz w:val="20"/>
                <w:szCs w:val="20"/>
              </w:rPr>
              <w:instrText>PAGE</w:instrText>
            </w:r>
            <w:r w:rsidRPr="0007118D">
              <w:rPr>
                <w:b/>
                <w:bCs/>
                <w:sz w:val="20"/>
                <w:szCs w:val="20"/>
              </w:rPr>
              <w:fldChar w:fldCharType="separate"/>
            </w:r>
            <w:r w:rsidR="00C0171E">
              <w:rPr>
                <w:b/>
                <w:bCs/>
                <w:noProof/>
                <w:sz w:val="20"/>
                <w:szCs w:val="20"/>
              </w:rPr>
              <w:t>1</w:t>
            </w:r>
            <w:r w:rsidRPr="0007118D">
              <w:rPr>
                <w:b/>
                <w:bCs/>
                <w:sz w:val="20"/>
                <w:szCs w:val="20"/>
              </w:rPr>
              <w:fldChar w:fldCharType="end"/>
            </w:r>
            <w:r w:rsidRPr="0007118D">
              <w:rPr>
                <w:sz w:val="20"/>
                <w:szCs w:val="20"/>
              </w:rPr>
              <w:t xml:space="preserve"> of </w:t>
            </w:r>
            <w:r w:rsidRPr="0007118D">
              <w:rPr>
                <w:b/>
                <w:bCs/>
                <w:sz w:val="20"/>
                <w:szCs w:val="20"/>
              </w:rPr>
              <w:fldChar w:fldCharType="begin"/>
            </w:r>
            <w:r w:rsidRPr="0007118D">
              <w:rPr>
                <w:b/>
                <w:bCs/>
                <w:sz w:val="20"/>
                <w:szCs w:val="20"/>
              </w:rPr>
              <w:instrText>NUMPAGES</w:instrText>
            </w:r>
            <w:r w:rsidRPr="0007118D">
              <w:rPr>
                <w:b/>
                <w:bCs/>
                <w:sz w:val="20"/>
                <w:szCs w:val="20"/>
              </w:rPr>
              <w:fldChar w:fldCharType="separate"/>
            </w:r>
            <w:r w:rsidR="00C0171E">
              <w:rPr>
                <w:b/>
                <w:bCs/>
                <w:noProof/>
                <w:sz w:val="20"/>
                <w:szCs w:val="20"/>
              </w:rPr>
              <w:t>1</w:t>
            </w:r>
            <w:r w:rsidRPr="0007118D">
              <w:rPr>
                <w:b/>
                <w:bCs/>
                <w:sz w:val="20"/>
                <w:szCs w:val="20"/>
              </w:rPr>
              <w:fldChar w:fldCharType="end"/>
            </w:r>
          </w:p>
        </w:sdtContent>
      </w:sdt>
    </w:sdtContent>
  </w:sdt>
  <w:p w14:paraId="3BAB3966" w14:textId="77777777" w:rsidR="0007118D" w:rsidRDefault="00071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ACEC3" w14:textId="77777777" w:rsidR="00F26028" w:rsidRDefault="00F26028" w:rsidP="0007118D">
      <w:pPr>
        <w:spacing w:after="0" w:line="240" w:lineRule="auto"/>
      </w:pPr>
      <w:r>
        <w:separator/>
      </w:r>
    </w:p>
  </w:footnote>
  <w:footnote w:type="continuationSeparator" w:id="0">
    <w:p w14:paraId="50ED5E8B" w14:textId="77777777" w:rsidR="00F26028" w:rsidRDefault="00F26028" w:rsidP="000711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C78"/>
    <w:rsid w:val="0007118D"/>
    <w:rsid w:val="0019070E"/>
    <w:rsid w:val="0026628D"/>
    <w:rsid w:val="003B29A4"/>
    <w:rsid w:val="00414F83"/>
    <w:rsid w:val="00460C78"/>
    <w:rsid w:val="004B64FC"/>
    <w:rsid w:val="004F74A6"/>
    <w:rsid w:val="00553A8C"/>
    <w:rsid w:val="00587376"/>
    <w:rsid w:val="00620FF2"/>
    <w:rsid w:val="006A4C99"/>
    <w:rsid w:val="008229C7"/>
    <w:rsid w:val="00920112"/>
    <w:rsid w:val="00A229CC"/>
    <w:rsid w:val="00AA11C4"/>
    <w:rsid w:val="00AA2516"/>
    <w:rsid w:val="00AA4F14"/>
    <w:rsid w:val="00AE1A34"/>
    <w:rsid w:val="00B400E1"/>
    <w:rsid w:val="00C0171E"/>
    <w:rsid w:val="00D65159"/>
    <w:rsid w:val="00E82279"/>
    <w:rsid w:val="00ED459B"/>
    <w:rsid w:val="00F26028"/>
    <w:rsid w:val="00F62F09"/>
    <w:rsid w:val="00FA0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21DC"/>
  <w15:docId w15:val="{7244F977-48BD-41FA-A79D-757E9822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159"/>
    <w:rPr>
      <w:kern w:val="0"/>
      <w14:ligatures w14:val="none"/>
    </w:rPr>
  </w:style>
  <w:style w:type="paragraph" w:styleId="Heading1">
    <w:name w:val="heading 1"/>
    <w:basedOn w:val="Normal"/>
    <w:next w:val="Normal"/>
    <w:link w:val="Heading1Char"/>
    <w:uiPriority w:val="9"/>
    <w:qFormat/>
    <w:rsid w:val="00460C7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60C7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60C78"/>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60C78"/>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60C78"/>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60C78"/>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60C78"/>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60C78"/>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60C78"/>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C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0C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0C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C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C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C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C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C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C78"/>
    <w:rPr>
      <w:rFonts w:eastAsiaTheme="majorEastAsia" w:cstheme="majorBidi"/>
      <w:color w:val="272727" w:themeColor="text1" w:themeTint="D8"/>
    </w:rPr>
  </w:style>
  <w:style w:type="paragraph" w:styleId="Title">
    <w:name w:val="Title"/>
    <w:basedOn w:val="Normal"/>
    <w:next w:val="Normal"/>
    <w:link w:val="TitleChar"/>
    <w:uiPriority w:val="10"/>
    <w:qFormat/>
    <w:rsid w:val="00460C7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60C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C78"/>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60C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C78"/>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460C78"/>
    <w:rPr>
      <w:i/>
      <w:iCs/>
      <w:color w:val="404040" w:themeColor="text1" w:themeTint="BF"/>
    </w:rPr>
  </w:style>
  <w:style w:type="paragraph" w:styleId="ListParagraph">
    <w:name w:val="List Paragraph"/>
    <w:basedOn w:val="Normal"/>
    <w:uiPriority w:val="34"/>
    <w:qFormat/>
    <w:rsid w:val="00460C78"/>
    <w:pPr>
      <w:ind w:left="720"/>
      <w:contextualSpacing/>
    </w:pPr>
    <w:rPr>
      <w:kern w:val="2"/>
      <w14:ligatures w14:val="standardContextual"/>
    </w:rPr>
  </w:style>
  <w:style w:type="character" w:styleId="IntenseEmphasis">
    <w:name w:val="Intense Emphasis"/>
    <w:basedOn w:val="DefaultParagraphFont"/>
    <w:uiPriority w:val="21"/>
    <w:qFormat/>
    <w:rsid w:val="00460C78"/>
    <w:rPr>
      <w:i/>
      <w:iCs/>
      <w:color w:val="0F4761" w:themeColor="accent1" w:themeShade="BF"/>
    </w:rPr>
  </w:style>
  <w:style w:type="paragraph" w:styleId="IntenseQuote">
    <w:name w:val="Intense Quote"/>
    <w:basedOn w:val="Normal"/>
    <w:next w:val="Normal"/>
    <w:link w:val="IntenseQuoteChar"/>
    <w:uiPriority w:val="30"/>
    <w:qFormat/>
    <w:rsid w:val="00460C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60C78"/>
    <w:rPr>
      <w:i/>
      <w:iCs/>
      <w:color w:val="0F4761" w:themeColor="accent1" w:themeShade="BF"/>
    </w:rPr>
  </w:style>
  <w:style w:type="character" w:styleId="IntenseReference">
    <w:name w:val="Intense Reference"/>
    <w:basedOn w:val="DefaultParagraphFont"/>
    <w:uiPriority w:val="32"/>
    <w:qFormat/>
    <w:rsid w:val="00460C78"/>
    <w:rPr>
      <w:b/>
      <w:bCs/>
      <w:smallCaps/>
      <w:color w:val="0F4761" w:themeColor="accent1" w:themeShade="BF"/>
      <w:spacing w:val="5"/>
    </w:rPr>
  </w:style>
  <w:style w:type="table" w:styleId="TableGrid">
    <w:name w:val="Table Grid"/>
    <w:basedOn w:val="TableNormal"/>
    <w:uiPriority w:val="39"/>
    <w:rsid w:val="00D65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11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18D"/>
    <w:rPr>
      <w:kern w:val="0"/>
      <w14:ligatures w14:val="none"/>
    </w:rPr>
  </w:style>
  <w:style w:type="paragraph" w:styleId="Footer">
    <w:name w:val="footer"/>
    <w:basedOn w:val="Normal"/>
    <w:link w:val="FooterChar"/>
    <w:uiPriority w:val="99"/>
    <w:unhideWhenUsed/>
    <w:rsid w:val="000711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18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0DD3D919C02B40AFFCA05862CC1AFC" ma:contentTypeVersion="16" ma:contentTypeDescription="Create a new document." ma:contentTypeScope="" ma:versionID="0035b2c01dbf565a89fd1b14580fe669">
  <xsd:schema xmlns:xsd="http://www.w3.org/2001/XMLSchema" xmlns:xs="http://www.w3.org/2001/XMLSchema" xmlns:p="http://schemas.microsoft.com/office/2006/metadata/properties" xmlns:ns2="9929fc2e-72ba-405b-bc74-e4c2d93106eb" xmlns:ns3="152a24aa-af11-4663-ac03-268ed99449f6" targetNamespace="http://schemas.microsoft.com/office/2006/metadata/properties" ma:root="true" ma:fieldsID="bf43217e3d2f1f44dc2b5a2dee19cc63" ns2:_="" ns3:_="">
    <xsd:import namespace="9929fc2e-72ba-405b-bc74-e4c2d93106eb"/>
    <xsd:import namespace="152a24aa-af11-4663-ac03-268ed99449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_ip_UnifiedCompliancePolicyProperties" minOccurs="0"/>
                <xsd:element ref="ns3: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9fc2e-72ba-405b-bc74-e4c2d93106eb"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a24aa-af11-4663-ac03-268ed99449f6"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_ip_UnifiedCompliancePolicyProperties" ma:index="8" nillable="true" ma:displayName="Unified Compliance Policy Properties" ma:internalName="_ip_UnifiedCompliancePolicyProperties" ma:readOnly="false">
      <xsd:simpleType>
        <xsd:restriction base="dms:Note"/>
      </xsd:simpleType>
    </xsd:element>
    <xsd:element name="_ip_UnifiedCompliancePolicyUIAction" ma:index="9"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152a24aa-af11-4663-ac03-268ed99449f6" xsi:nil="true"/>
    <_ip_UnifiedCompliancePolicyProperties xmlns="152a24aa-af11-4663-ac03-268ed99449f6" xsi:nil="true"/>
  </documentManagement>
</p:properties>
</file>

<file path=customXml/itemProps1.xml><?xml version="1.0" encoding="utf-8"?>
<ds:datastoreItem xmlns:ds="http://schemas.openxmlformats.org/officeDocument/2006/customXml" ds:itemID="{9D4DD8DC-99CB-47EC-8D24-4598284F9F36}">
  <ds:schemaRefs>
    <ds:schemaRef ds:uri="http://schemas.microsoft.com/sharepoint/v3/contenttype/forms"/>
  </ds:schemaRefs>
</ds:datastoreItem>
</file>

<file path=customXml/itemProps2.xml><?xml version="1.0" encoding="utf-8"?>
<ds:datastoreItem xmlns:ds="http://schemas.openxmlformats.org/officeDocument/2006/customXml" ds:itemID="{7287D626-442A-4D2F-8A7D-7FFCDDAFD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9fc2e-72ba-405b-bc74-e4c2d93106eb"/>
    <ds:schemaRef ds:uri="152a24aa-af11-4663-ac03-268ed9944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388D58-8B49-4295-92E9-B8DE40014311}">
  <ds:schemaRefs>
    <ds:schemaRef ds:uri="152a24aa-af11-4663-ac03-268ed99449f6"/>
    <ds:schemaRef ds:uri="http://purl.org/dc/terms/"/>
    <ds:schemaRef ds:uri="9929fc2e-72ba-405b-bc74-e4c2d93106eb"/>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Hospitals Of Leicester NHS Trust</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CADIENTE, Cherry (NHS ENGLAND - T1510)</dc:creator>
  <cp:lastModifiedBy>Wilson Jason - Foundation Programme Co-Ordinator</cp:lastModifiedBy>
  <cp:revision>2</cp:revision>
  <dcterms:created xsi:type="dcterms:W3CDTF">2025-01-16T12:38:00Z</dcterms:created>
  <dcterms:modified xsi:type="dcterms:W3CDTF">2025-01-16T12:38:00Z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0x010100460DD3D919C02B40AFFCA05862CC1AFC</vt:lpwstr>
  </property>
</Properties>
</file>