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17E" w14:textId="77777777" w:rsidR="00D65159" w:rsidRDefault="00D65159" w:rsidP="00D65159">
      <w:pPr>
        <w:jc w:val="center"/>
        <w:rPr>
          <w:b/>
          <w:bCs/>
          <w:sz w:val="72"/>
          <w:szCs w:val="72"/>
          <w:lang w:val="en-US"/>
        </w:rPr>
      </w:pPr>
      <w:r w:rsidRPr="00FF75D8">
        <w:rPr>
          <w:b/>
          <w:bCs/>
          <w:sz w:val="72"/>
          <w:szCs w:val="72"/>
          <w:lang w:val="en-US"/>
        </w:rPr>
        <w:t>Foundation Job Description</w:t>
      </w:r>
    </w:p>
    <w:tbl>
      <w:tblPr>
        <w:tblStyle w:val="TableGrid"/>
        <w:tblW w:w="10627" w:type="dxa"/>
        <w:tblLook w:val="04A0" w:firstRow="1" w:lastRow="0" w:firstColumn="1" w:lastColumn="0" w:noHBand="0" w:noVBand="1"/>
      </w:tblPr>
      <w:tblGrid>
        <w:gridCol w:w="1502"/>
        <w:gridCol w:w="1825"/>
        <w:gridCol w:w="70"/>
        <w:gridCol w:w="1701"/>
        <w:gridCol w:w="54"/>
        <w:gridCol w:w="1789"/>
        <w:gridCol w:w="36"/>
        <w:gridCol w:w="1825"/>
        <w:gridCol w:w="1825"/>
      </w:tblGrid>
      <w:tr w:rsidR="00D65159" w:rsidRPr="00F62F09" w14:paraId="783FA291" w14:textId="77777777" w:rsidTr="00ED459B">
        <w:tc>
          <w:tcPr>
            <w:tcW w:w="10627" w:type="dxa"/>
            <w:gridSpan w:val="9"/>
            <w:shd w:val="clear" w:color="auto" w:fill="C1F0C7" w:themeFill="accent3" w:themeFillTint="33"/>
          </w:tcPr>
          <w:p w14:paraId="11E779FD" w14:textId="3D154486" w:rsidR="00D65159" w:rsidRPr="00F62F09" w:rsidRDefault="00D65159" w:rsidP="00F62F09">
            <w:pPr>
              <w:jc w:val="center"/>
              <w:rPr>
                <w:b/>
                <w:bCs/>
                <w:sz w:val="28"/>
                <w:szCs w:val="28"/>
              </w:rPr>
            </w:pPr>
            <w:r w:rsidRPr="00F62F09">
              <w:rPr>
                <w:b/>
                <w:bCs/>
                <w:sz w:val="28"/>
                <w:szCs w:val="28"/>
              </w:rPr>
              <w:t>Foundation School</w:t>
            </w:r>
          </w:p>
        </w:tc>
      </w:tr>
      <w:tr w:rsidR="00D65159" w14:paraId="6117EC23" w14:textId="77777777" w:rsidTr="00AA11C4">
        <w:trPr>
          <w:trHeight w:val="514"/>
        </w:trPr>
        <w:tc>
          <w:tcPr>
            <w:tcW w:w="10627" w:type="dxa"/>
            <w:gridSpan w:val="9"/>
            <w:vAlign w:val="center"/>
          </w:tcPr>
          <w:p w14:paraId="3C4C95B4" w14:textId="342FE404" w:rsidR="00414F83" w:rsidRDefault="00AA11C4" w:rsidP="00AA11C4">
            <w:pPr>
              <w:jc w:val="center"/>
            </w:pPr>
            <w:r>
              <w:t xml:space="preserve">LNR </w:t>
            </w:r>
          </w:p>
        </w:tc>
      </w:tr>
      <w:tr w:rsidR="00AA2516" w:rsidRPr="00414F83" w14:paraId="3877837A" w14:textId="77777777" w:rsidTr="00ED459B">
        <w:trPr>
          <w:trHeight w:val="123"/>
        </w:trPr>
        <w:tc>
          <w:tcPr>
            <w:tcW w:w="3397" w:type="dxa"/>
            <w:gridSpan w:val="3"/>
            <w:shd w:val="clear" w:color="auto" w:fill="C1F0C7" w:themeFill="accent3" w:themeFillTint="33"/>
          </w:tcPr>
          <w:p w14:paraId="7B707E45" w14:textId="77777777" w:rsidR="00AA2516" w:rsidRDefault="00AA2516" w:rsidP="00F62F09">
            <w:pPr>
              <w:jc w:val="center"/>
              <w:rPr>
                <w:b/>
                <w:bCs/>
                <w:sz w:val="24"/>
                <w:szCs w:val="24"/>
              </w:rPr>
            </w:pPr>
            <w:r w:rsidRPr="00414F83">
              <w:rPr>
                <w:b/>
                <w:bCs/>
                <w:sz w:val="24"/>
                <w:szCs w:val="24"/>
              </w:rPr>
              <w:t>Grade</w:t>
            </w:r>
          </w:p>
          <w:p w14:paraId="2882DF2C" w14:textId="3323A9F7" w:rsidR="00E82279" w:rsidRPr="00E82279" w:rsidRDefault="00E82279" w:rsidP="00F62F09">
            <w:pPr>
              <w:jc w:val="center"/>
              <w:rPr>
                <w:i/>
                <w:iCs/>
                <w:sz w:val="24"/>
                <w:szCs w:val="24"/>
              </w:rPr>
            </w:pPr>
            <w:r w:rsidRPr="00E82279">
              <w:rPr>
                <w:i/>
                <w:iCs/>
              </w:rPr>
              <w:t>(F1 or F2)</w:t>
            </w:r>
          </w:p>
        </w:tc>
        <w:tc>
          <w:tcPr>
            <w:tcW w:w="3544" w:type="dxa"/>
            <w:gridSpan w:val="3"/>
            <w:shd w:val="clear" w:color="auto" w:fill="C1F0C7" w:themeFill="accent3" w:themeFillTint="33"/>
          </w:tcPr>
          <w:p w14:paraId="4F32D867" w14:textId="77777777" w:rsidR="00AA2516" w:rsidRDefault="00AA2516" w:rsidP="00F62F09">
            <w:pPr>
              <w:jc w:val="center"/>
              <w:rPr>
                <w:b/>
                <w:bCs/>
                <w:sz w:val="24"/>
                <w:szCs w:val="24"/>
              </w:rPr>
            </w:pPr>
            <w:r w:rsidRPr="00414F83">
              <w:rPr>
                <w:b/>
                <w:bCs/>
                <w:sz w:val="24"/>
                <w:szCs w:val="24"/>
              </w:rPr>
              <w:t>Specialty</w:t>
            </w:r>
          </w:p>
          <w:p w14:paraId="3FB862EA" w14:textId="7E60F849" w:rsidR="0026628D" w:rsidRPr="0026628D" w:rsidRDefault="0026628D" w:rsidP="0026628D">
            <w:pPr>
              <w:jc w:val="center"/>
              <w:rPr>
                <w:b/>
                <w:bCs/>
                <w:i/>
                <w:iCs/>
                <w:sz w:val="24"/>
                <w:szCs w:val="24"/>
                <w:lang w:val="en-US"/>
              </w:rPr>
            </w:pPr>
            <w:r w:rsidRPr="00E82279">
              <w:rPr>
                <w:i/>
                <w:iCs/>
                <w:lang w:val="en-US"/>
              </w:rPr>
              <w:t>If General (Internal) Medicine OR General Surgery, please provide a sub-specialty</w:t>
            </w:r>
          </w:p>
        </w:tc>
        <w:tc>
          <w:tcPr>
            <w:tcW w:w="3686" w:type="dxa"/>
            <w:gridSpan w:val="3"/>
            <w:shd w:val="clear" w:color="auto" w:fill="C1F0C7" w:themeFill="accent3" w:themeFillTint="33"/>
          </w:tcPr>
          <w:p w14:paraId="41684331" w14:textId="77777777" w:rsidR="00AA2516" w:rsidRDefault="00AA2516" w:rsidP="00F62F09">
            <w:pPr>
              <w:jc w:val="center"/>
              <w:rPr>
                <w:b/>
                <w:bCs/>
                <w:sz w:val="24"/>
                <w:szCs w:val="24"/>
              </w:rPr>
            </w:pPr>
            <w:r w:rsidRPr="00414F83">
              <w:rPr>
                <w:b/>
                <w:bCs/>
                <w:sz w:val="24"/>
                <w:szCs w:val="24"/>
              </w:rPr>
              <w:t>Sub-specialty (if appropriate)</w:t>
            </w:r>
          </w:p>
          <w:p w14:paraId="3C26D2F3" w14:textId="4C2912A0" w:rsidR="00E82279" w:rsidRPr="00E82279" w:rsidRDefault="00E82279" w:rsidP="00E82279">
            <w:pPr>
              <w:jc w:val="center"/>
              <w:rPr>
                <w:b/>
                <w:bCs/>
                <w:i/>
                <w:iCs/>
                <w:sz w:val="24"/>
                <w:szCs w:val="24"/>
                <w:lang w:val="en-US"/>
              </w:rPr>
            </w:pPr>
            <w:r w:rsidRPr="00E82279">
              <w:rPr>
                <w:i/>
                <w:iCs/>
                <w:lang w:val="en-US"/>
              </w:rPr>
              <w:t>If General (Internal) Medicine OR General Surgery, please provide a sub-specialty</w:t>
            </w:r>
          </w:p>
        </w:tc>
      </w:tr>
      <w:tr w:rsidR="00AA2516" w14:paraId="1DB84BD5" w14:textId="77777777" w:rsidTr="00ED459B">
        <w:trPr>
          <w:trHeight w:val="122"/>
        </w:trPr>
        <w:tc>
          <w:tcPr>
            <w:tcW w:w="3397" w:type="dxa"/>
            <w:gridSpan w:val="3"/>
          </w:tcPr>
          <w:p w14:paraId="0113E488" w14:textId="2CE47631" w:rsidR="00AA2516" w:rsidRDefault="00587376" w:rsidP="00587376">
            <w:pPr>
              <w:jc w:val="center"/>
            </w:pPr>
            <w:r w:rsidRPr="00587376">
              <w:t>F2</w:t>
            </w:r>
          </w:p>
          <w:p w14:paraId="6A5D2F61" w14:textId="77777777" w:rsidR="00414F83" w:rsidRDefault="00414F83"/>
        </w:tc>
        <w:tc>
          <w:tcPr>
            <w:tcW w:w="3544" w:type="dxa"/>
            <w:gridSpan w:val="3"/>
          </w:tcPr>
          <w:p w14:paraId="13EF9699" w14:textId="2ACDB3F1" w:rsidR="00AA2516" w:rsidRDefault="00587376" w:rsidP="00587376">
            <w:pPr>
              <w:jc w:val="center"/>
            </w:pPr>
            <w:r w:rsidRPr="00587376">
              <w:t>Psychiatry</w:t>
            </w:r>
          </w:p>
        </w:tc>
        <w:tc>
          <w:tcPr>
            <w:tcW w:w="3686" w:type="dxa"/>
            <w:gridSpan w:val="3"/>
          </w:tcPr>
          <w:p w14:paraId="16ED03D2" w14:textId="6516AE07" w:rsidR="00AA2516" w:rsidRDefault="003B29A4" w:rsidP="00587376">
            <w:pPr>
              <w:jc w:val="center"/>
            </w:pPr>
            <w:r w:rsidRPr="003B29A4">
              <w:t>General Adult</w:t>
            </w:r>
          </w:p>
        </w:tc>
      </w:tr>
      <w:tr w:rsidR="00AA4F14" w:rsidRPr="00414F83" w14:paraId="6E1BD9E0" w14:textId="77777777" w:rsidTr="00ED459B">
        <w:trPr>
          <w:trHeight w:val="123"/>
        </w:trPr>
        <w:tc>
          <w:tcPr>
            <w:tcW w:w="5098" w:type="dxa"/>
            <w:gridSpan w:val="4"/>
            <w:shd w:val="clear" w:color="auto" w:fill="C1F0C7" w:themeFill="accent3" w:themeFillTint="33"/>
          </w:tcPr>
          <w:p w14:paraId="363D3B6F" w14:textId="50C53183" w:rsidR="00AA4F14" w:rsidRPr="00414F83" w:rsidRDefault="00AA4F14" w:rsidP="00F62F09">
            <w:pPr>
              <w:jc w:val="center"/>
              <w:rPr>
                <w:b/>
                <w:bCs/>
                <w:sz w:val="24"/>
                <w:szCs w:val="24"/>
              </w:rPr>
            </w:pPr>
            <w:r w:rsidRPr="00414F83">
              <w:rPr>
                <w:b/>
                <w:bCs/>
                <w:sz w:val="24"/>
                <w:szCs w:val="24"/>
              </w:rPr>
              <w:t>Trust</w:t>
            </w:r>
          </w:p>
        </w:tc>
        <w:tc>
          <w:tcPr>
            <w:tcW w:w="5529" w:type="dxa"/>
            <w:gridSpan w:val="5"/>
            <w:shd w:val="clear" w:color="auto" w:fill="C1F0C7" w:themeFill="accent3" w:themeFillTint="33"/>
          </w:tcPr>
          <w:p w14:paraId="4C26230F" w14:textId="75317C9F" w:rsidR="00AA4F14" w:rsidRPr="00414F83" w:rsidRDefault="00AA4F14" w:rsidP="00F62F09">
            <w:pPr>
              <w:jc w:val="center"/>
              <w:rPr>
                <w:b/>
                <w:bCs/>
                <w:sz w:val="24"/>
                <w:szCs w:val="24"/>
              </w:rPr>
            </w:pPr>
            <w:r w:rsidRPr="00414F83">
              <w:rPr>
                <w:b/>
                <w:bCs/>
                <w:sz w:val="24"/>
                <w:szCs w:val="24"/>
              </w:rPr>
              <w:t>Site</w:t>
            </w:r>
          </w:p>
        </w:tc>
      </w:tr>
      <w:tr w:rsidR="00AA4F14" w14:paraId="28DDBD94" w14:textId="77777777" w:rsidTr="0019070E">
        <w:trPr>
          <w:trHeight w:val="436"/>
        </w:trPr>
        <w:tc>
          <w:tcPr>
            <w:tcW w:w="5098" w:type="dxa"/>
            <w:gridSpan w:val="4"/>
            <w:vAlign w:val="center"/>
          </w:tcPr>
          <w:p w14:paraId="59272C78" w14:textId="2DB545D3" w:rsidR="00414F83" w:rsidRDefault="00587376" w:rsidP="00587376">
            <w:pPr>
              <w:jc w:val="center"/>
            </w:pPr>
            <w:r w:rsidRPr="00587376">
              <w:t>Leicestershire Partnership Trust</w:t>
            </w:r>
          </w:p>
        </w:tc>
        <w:tc>
          <w:tcPr>
            <w:tcW w:w="5529" w:type="dxa"/>
            <w:gridSpan w:val="5"/>
            <w:vAlign w:val="center"/>
          </w:tcPr>
          <w:p w14:paraId="58073DE1" w14:textId="01149D39" w:rsidR="00AA4F14" w:rsidRDefault="000170AB" w:rsidP="0019070E">
            <w:pPr>
              <w:jc w:val="center"/>
            </w:pPr>
            <w:r w:rsidRPr="000170AB">
              <w:t>PIER Team, St Peter’s Health Centre</w:t>
            </w:r>
          </w:p>
        </w:tc>
      </w:tr>
      <w:tr w:rsidR="00AA4F14" w:rsidRPr="00414F83" w14:paraId="42DAA404" w14:textId="77777777" w:rsidTr="00ED459B">
        <w:trPr>
          <w:trHeight w:val="122"/>
        </w:trPr>
        <w:tc>
          <w:tcPr>
            <w:tcW w:w="10627" w:type="dxa"/>
            <w:gridSpan w:val="9"/>
            <w:shd w:val="clear" w:color="auto" w:fill="C1F0C7" w:themeFill="accent3" w:themeFillTint="33"/>
            <w:vAlign w:val="center"/>
          </w:tcPr>
          <w:p w14:paraId="64DE6522" w14:textId="4BB12ABA" w:rsidR="00AA4F14" w:rsidRPr="00414F83" w:rsidRDefault="00AA4F14" w:rsidP="00AA4F14">
            <w:pPr>
              <w:tabs>
                <w:tab w:val="left" w:pos="8002"/>
              </w:tabs>
              <w:rPr>
                <w:b/>
                <w:bCs/>
                <w:sz w:val="24"/>
                <w:szCs w:val="24"/>
              </w:rPr>
            </w:pPr>
            <w:r w:rsidRPr="00414F83">
              <w:rPr>
                <w:b/>
                <w:bCs/>
                <w:sz w:val="24"/>
                <w:szCs w:val="24"/>
              </w:rPr>
              <w:t>Main Duties</w:t>
            </w:r>
            <w:r w:rsidRPr="00414F83">
              <w:rPr>
                <w:b/>
                <w:bCs/>
                <w:sz w:val="24"/>
                <w:szCs w:val="24"/>
              </w:rPr>
              <w:tab/>
            </w:r>
          </w:p>
        </w:tc>
      </w:tr>
      <w:tr w:rsidR="00AA4F14" w14:paraId="65F5389A" w14:textId="77777777" w:rsidTr="0019070E">
        <w:trPr>
          <w:trHeight w:val="122"/>
        </w:trPr>
        <w:tc>
          <w:tcPr>
            <w:tcW w:w="10627" w:type="dxa"/>
            <w:gridSpan w:val="9"/>
          </w:tcPr>
          <w:p w14:paraId="4B687B25" w14:textId="1A4A2037" w:rsidR="003B29A4" w:rsidRDefault="000170AB" w:rsidP="000170AB">
            <w:r w:rsidRPr="000170AB">
              <w:t>This placement is working in the community it allows you to become part of a dynamic mental health team providing high quality care to people aged 16 to 35 years of age within Leicester, Leicestershire, and Rutland.</w:t>
            </w:r>
          </w:p>
          <w:p w14:paraId="4B50274E" w14:textId="77777777" w:rsidR="000170AB" w:rsidRDefault="000170AB" w:rsidP="000170AB"/>
          <w:p w14:paraId="7FC02AAE" w14:textId="05F42742" w:rsidR="000170AB" w:rsidRDefault="000170AB" w:rsidP="000170AB">
            <w:r w:rsidRPr="000170AB">
              <w:t>Under the supervision of Dr Chakraborty, a keen educator, you will have excellent exposure to a wide range of patients and will have the opportunity to gain generic FY2 competencies in an early intervention in psychosis post.</w:t>
            </w:r>
          </w:p>
          <w:p w14:paraId="4AEA954A" w14:textId="77777777" w:rsidR="000170AB" w:rsidRDefault="000170AB" w:rsidP="000170AB"/>
          <w:p w14:paraId="2DB08EA0" w14:textId="0D835AF7" w:rsidR="000170AB" w:rsidRDefault="000170AB" w:rsidP="000170AB">
            <w:r w:rsidRPr="000170AB">
              <w:t>Looking after patients from a diverse social ethnic and economic background, you will gain an understanding of the impact of serious mental illness and the importance of prompt and effective treatment. You will develop knowledge of the prevalence of psychosis in younger people, treatments available and service that are there to support the patients and their carers.</w:t>
            </w:r>
          </w:p>
          <w:p w14:paraId="16B0B90E" w14:textId="77777777" w:rsidR="000170AB" w:rsidRDefault="000170AB" w:rsidP="000170AB"/>
          <w:p w14:paraId="1ACD71D0" w14:textId="161C4E1D" w:rsidR="000170AB" w:rsidRDefault="000170AB" w:rsidP="000170AB">
            <w:r w:rsidRPr="000170AB">
              <w:t>As part of your post, you will participate in the on-call Rota of the Bradgate Mental Health Unit, providing out-of-hours medical cover to the wards based at the Bradgate Unit. You will receive further information in relation to this at your induction to the trust.</w:t>
            </w:r>
          </w:p>
          <w:p w14:paraId="7DD4CC3B" w14:textId="77777777" w:rsidR="000170AB" w:rsidRDefault="000170AB" w:rsidP="000170AB"/>
          <w:p w14:paraId="6E7F201C" w14:textId="26DF3DAA" w:rsidR="000170AB" w:rsidRDefault="000170AB" w:rsidP="000170AB">
            <w:r w:rsidRPr="000170AB">
              <w:t>There will be a weekly supervision session with the Clinical Supervisor where cases from the community or the ward can be discussed and reflected upon. There is also ample opportunity to become involved in an audit and to develop your skills as a clinical teacher, assisting the teaching of the medical students on the ward.</w:t>
            </w:r>
          </w:p>
          <w:p w14:paraId="471F4F08" w14:textId="77777777" w:rsidR="000170AB" w:rsidRDefault="000170AB" w:rsidP="000170AB"/>
          <w:p w14:paraId="2627F52B" w14:textId="1C7707A1" w:rsidR="000170AB" w:rsidRDefault="000170AB" w:rsidP="000170AB">
            <w:r w:rsidRPr="000170AB">
              <w:t>Whilst there are opportunities to develop transferrable skills that would be of value to any branch of medicine, this post will be of particular benefit to doctors intending to pursue a career in general medicine, GP, or Psychiatry.</w:t>
            </w:r>
          </w:p>
        </w:tc>
      </w:tr>
      <w:tr w:rsidR="004B64FC" w:rsidRPr="00414F83" w14:paraId="628B4B8D" w14:textId="77777777" w:rsidTr="00ED459B">
        <w:trPr>
          <w:trHeight w:val="122"/>
        </w:trPr>
        <w:tc>
          <w:tcPr>
            <w:tcW w:w="10627" w:type="dxa"/>
            <w:gridSpan w:val="9"/>
            <w:shd w:val="clear" w:color="auto" w:fill="C1F0C7" w:themeFill="accent3" w:themeFillTint="33"/>
            <w:vAlign w:val="center"/>
          </w:tcPr>
          <w:p w14:paraId="05993B79" w14:textId="520EF443" w:rsidR="004B64FC" w:rsidRPr="00414F83" w:rsidRDefault="004B64FC" w:rsidP="00AA4F14">
            <w:pPr>
              <w:rPr>
                <w:b/>
                <w:bCs/>
                <w:sz w:val="24"/>
                <w:szCs w:val="24"/>
              </w:rPr>
            </w:pPr>
            <w:r w:rsidRPr="00414F83">
              <w:rPr>
                <w:b/>
                <w:bCs/>
                <w:sz w:val="24"/>
                <w:szCs w:val="24"/>
              </w:rPr>
              <w:t>Example Timetable</w:t>
            </w:r>
          </w:p>
        </w:tc>
      </w:tr>
      <w:tr w:rsidR="004B64FC" w:rsidRPr="00414F83" w14:paraId="1992CB50" w14:textId="77777777" w:rsidTr="00ED459B">
        <w:trPr>
          <w:trHeight w:val="122"/>
        </w:trPr>
        <w:tc>
          <w:tcPr>
            <w:tcW w:w="10627" w:type="dxa"/>
            <w:gridSpan w:val="9"/>
            <w:shd w:val="clear" w:color="auto" w:fill="C1F0C7" w:themeFill="accent3" w:themeFillTint="33"/>
            <w:vAlign w:val="center"/>
          </w:tcPr>
          <w:p w14:paraId="1EFE370E" w14:textId="5978B9D4" w:rsidR="004B64FC" w:rsidRPr="00414F83" w:rsidRDefault="00B400E1" w:rsidP="00AA4F14">
            <w:pPr>
              <w:rPr>
                <w:b/>
                <w:bCs/>
                <w:sz w:val="24"/>
                <w:szCs w:val="24"/>
              </w:rPr>
            </w:pPr>
            <w:r w:rsidRPr="00414F83">
              <w:rPr>
                <w:b/>
                <w:bCs/>
                <w:sz w:val="24"/>
                <w:szCs w:val="24"/>
                <w:lang w:val="en-US"/>
              </w:rPr>
              <w:t>For example: W/R (Outpatients), MDT, Meetings, X-Ray Conference etc.</w:t>
            </w:r>
          </w:p>
        </w:tc>
      </w:tr>
      <w:tr w:rsidR="00B400E1" w:rsidRPr="00B400E1" w14:paraId="6BC91EF7" w14:textId="77777777" w:rsidTr="00414F83">
        <w:trPr>
          <w:trHeight w:val="92"/>
        </w:trPr>
        <w:tc>
          <w:tcPr>
            <w:tcW w:w="1502" w:type="dxa"/>
            <w:vAlign w:val="center"/>
          </w:tcPr>
          <w:p w14:paraId="452929D7" w14:textId="77777777" w:rsidR="00B400E1" w:rsidRPr="00B400E1" w:rsidRDefault="00B400E1" w:rsidP="00AA4F14">
            <w:pPr>
              <w:rPr>
                <w:sz w:val="24"/>
                <w:szCs w:val="24"/>
                <w:lang w:val="en-US"/>
              </w:rPr>
            </w:pPr>
          </w:p>
        </w:tc>
        <w:tc>
          <w:tcPr>
            <w:tcW w:w="1825" w:type="dxa"/>
            <w:shd w:val="clear" w:color="auto" w:fill="FFC000"/>
            <w:vAlign w:val="center"/>
          </w:tcPr>
          <w:p w14:paraId="57370807" w14:textId="4B3D2F6E" w:rsidR="00B400E1" w:rsidRPr="00F62F09" w:rsidRDefault="00B400E1" w:rsidP="00AA4F14">
            <w:pPr>
              <w:rPr>
                <w:b/>
                <w:bCs/>
                <w:sz w:val="24"/>
                <w:szCs w:val="24"/>
                <w:lang w:val="en-US"/>
              </w:rPr>
            </w:pPr>
            <w:r w:rsidRPr="00F62F09">
              <w:rPr>
                <w:b/>
                <w:bCs/>
                <w:sz w:val="24"/>
                <w:szCs w:val="24"/>
                <w:lang w:val="en-US"/>
              </w:rPr>
              <w:t>Mon</w:t>
            </w:r>
          </w:p>
        </w:tc>
        <w:tc>
          <w:tcPr>
            <w:tcW w:w="1825" w:type="dxa"/>
            <w:gridSpan w:val="3"/>
            <w:shd w:val="clear" w:color="auto" w:fill="FFC000"/>
            <w:vAlign w:val="center"/>
          </w:tcPr>
          <w:p w14:paraId="753BD619" w14:textId="31B011AC" w:rsidR="00B400E1" w:rsidRPr="00F62F09" w:rsidRDefault="00B400E1" w:rsidP="00AA4F14">
            <w:pPr>
              <w:rPr>
                <w:b/>
                <w:bCs/>
                <w:sz w:val="24"/>
                <w:szCs w:val="24"/>
                <w:lang w:val="en-US"/>
              </w:rPr>
            </w:pPr>
            <w:r w:rsidRPr="00F62F09">
              <w:rPr>
                <w:b/>
                <w:bCs/>
                <w:sz w:val="24"/>
                <w:szCs w:val="24"/>
                <w:lang w:val="en-US"/>
              </w:rPr>
              <w:t>Tues</w:t>
            </w:r>
          </w:p>
        </w:tc>
        <w:tc>
          <w:tcPr>
            <w:tcW w:w="1825" w:type="dxa"/>
            <w:gridSpan w:val="2"/>
            <w:shd w:val="clear" w:color="auto" w:fill="FFC000"/>
            <w:vAlign w:val="center"/>
          </w:tcPr>
          <w:p w14:paraId="139169F5" w14:textId="66BE844D" w:rsidR="00B400E1" w:rsidRPr="00F62F09" w:rsidRDefault="00B400E1" w:rsidP="00AA4F14">
            <w:pPr>
              <w:rPr>
                <w:b/>
                <w:bCs/>
                <w:sz w:val="24"/>
                <w:szCs w:val="24"/>
                <w:lang w:val="en-US"/>
              </w:rPr>
            </w:pPr>
            <w:r w:rsidRPr="00F62F09">
              <w:rPr>
                <w:b/>
                <w:bCs/>
                <w:sz w:val="24"/>
                <w:szCs w:val="24"/>
                <w:lang w:val="en-US"/>
              </w:rPr>
              <w:t>Weds</w:t>
            </w:r>
          </w:p>
        </w:tc>
        <w:tc>
          <w:tcPr>
            <w:tcW w:w="1825" w:type="dxa"/>
            <w:shd w:val="clear" w:color="auto" w:fill="FFC000"/>
            <w:vAlign w:val="center"/>
          </w:tcPr>
          <w:p w14:paraId="4C9A8CA2" w14:textId="37EC474D" w:rsidR="00B400E1" w:rsidRPr="00F62F09" w:rsidRDefault="00B400E1" w:rsidP="00AA4F14">
            <w:pPr>
              <w:rPr>
                <w:b/>
                <w:bCs/>
                <w:sz w:val="24"/>
                <w:szCs w:val="24"/>
                <w:lang w:val="en-US"/>
              </w:rPr>
            </w:pPr>
            <w:r w:rsidRPr="00F62F09">
              <w:rPr>
                <w:b/>
                <w:bCs/>
                <w:sz w:val="24"/>
                <w:szCs w:val="24"/>
                <w:lang w:val="en-US"/>
              </w:rPr>
              <w:t>Thurs</w:t>
            </w:r>
          </w:p>
        </w:tc>
        <w:tc>
          <w:tcPr>
            <w:tcW w:w="1825" w:type="dxa"/>
            <w:shd w:val="clear" w:color="auto" w:fill="FFC000"/>
            <w:vAlign w:val="center"/>
          </w:tcPr>
          <w:p w14:paraId="044BD222" w14:textId="7977253E" w:rsidR="00B400E1" w:rsidRPr="00F62F09" w:rsidRDefault="00B400E1" w:rsidP="00AA4F14">
            <w:pPr>
              <w:rPr>
                <w:b/>
                <w:bCs/>
                <w:sz w:val="24"/>
                <w:szCs w:val="24"/>
                <w:lang w:val="en-US"/>
              </w:rPr>
            </w:pPr>
            <w:r w:rsidRPr="00F62F09">
              <w:rPr>
                <w:b/>
                <w:bCs/>
                <w:sz w:val="24"/>
                <w:szCs w:val="24"/>
                <w:lang w:val="en-US"/>
              </w:rPr>
              <w:t>Fri</w:t>
            </w:r>
          </w:p>
        </w:tc>
      </w:tr>
      <w:tr w:rsidR="00B400E1" w:rsidRPr="00B400E1" w14:paraId="22EEE590" w14:textId="77777777" w:rsidTr="00920112">
        <w:trPr>
          <w:trHeight w:val="90"/>
        </w:trPr>
        <w:tc>
          <w:tcPr>
            <w:tcW w:w="1502" w:type="dxa"/>
            <w:shd w:val="clear" w:color="auto" w:fill="FFC000"/>
            <w:vAlign w:val="center"/>
          </w:tcPr>
          <w:p w14:paraId="47506226" w14:textId="6E9636DB" w:rsidR="00B400E1" w:rsidRPr="00F62F09" w:rsidRDefault="00B400E1" w:rsidP="00AA4F14">
            <w:pPr>
              <w:rPr>
                <w:b/>
                <w:bCs/>
                <w:sz w:val="24"/>
                <w:szCs w:val="24"/>
                <w:lang w:val="en-US"/>
              </w:rPr>
            </w:pPr>
            <w:r w:rsidRPr="00F62F09">
              <w:rPr>
                <w:b/>
                <w:bCs/>
                <w:sz w:val="24"/>
                <w:szCs w:val="24"/>
                <w:lang w:val="en-US"/>
              </w:rPr>
              <w:t>AM</w:t>
            </w:r>
          </w:p>
        </w:tc>
        <w:tc>
          <w:tcPr>
            <w:tcW w:w="1825" w:type="dxa"/>
            <w:vAlign w:val="center"/>
          </w:tcPr>
          <w:p w14:paraId="71D21515" w14:textId="4A7EDE85" w:rsidR="00B400E1" w:rsidRPr="0019070E" w:rsidRDefault="000170AB" w:rsidP="00920112">
            <w:pPr>
              <w:jc w:val="center"/>
              <w:rPr>
                <w:lang w:val="en-US"/>
              </w:rPr>
            </w:pPr>
            <w:r w:rsidRPr="000170AB">
              <w:rPr>
                <w:lang w:val="en-US"/>
              </w:rPr>
              <w:t>Observation of O/P Clinic</w:t>
            </w:r>
          </w:p>
        </w:tc>
        <w:tc>
          <w:tcPr>
            <w:tcW w:w="1825" w:type="dxa"/>
            <w:gridSpan w:val="3"/>
            <w:vAlign w:val="center"/>
          </w:tcPr>
          <w:p w14:paraId="237FB932" w14:textId="49F3B193" w:rsidR="00B400E1" w:rsidRPr="0019070E" w:rsidRDefault="000170AB" w:rsidP="00920112">
            <w:pPr>
              <w:jc w:val="center"/>
              <w:rPr>
                <w:lang w:val="en-US"/>
              </w:rPr>
            </w:pPr>
            <w:r w:rsidRPr="000170AB">
              <w:rPr>
                <w:lang w:val="en-US"/>
              </w:rPr>
              <w:t>Observation of O/P Clinic</w:t>
            </w:r>
          </w:p>
        </w:tc>
        <w:tc>
          <w:tcPr>
            <w:tcW w:w="1825" w:type="dxa"/>
            <w:gridSpan w:val="2"/>
            <w:vAlign w:val="center"/>
          </w:tcPr>
          <w:p w14:paraId="75F082A9" w14:textId="0AC74B4F" w:rsidR="00B400E1" w:rsidRPr="0019070E" w:rsidRDefault="000170AB" w:rsidP="00920112">
            <w:pPr>
              <w:jc w:val="center"/>
              <w:rPr>
                <w:lang w:val="en-US"/>
              </w:rPr>
            </w:pPr>
            <w:r w:rsidRPr="000170AB">
              <w:rPr>
                <w:lang w:val="en-US"/>
              </w:rPr>
              <w:t>CMHT Meetings</w:t>
            </w:r>
          </w:p>
        </w:tc>
        <w:tc>
          <w:tcPr>
            <w:tcW w:w="1825" w:type="dxa"/>
            <w:vAlign w:val="center"/>
          </w:tcPr>
          <w:p w14:paraId="26D182E2" w14:textId="2B9B687C" w:rsidR="00B400E1" w:rsidRPr="0019070E" w:rsidRDefault="000170AB" w:rsidP="00920112">
            <w:pPr>
              <w:jc w:val="center"/>
              <w:rPr>
                <w:lang w:val="en-US"/>
              </w:rPr>
            </w:pPr>
            <w:r w:rsidRPr="000170AB">
              <w:rPr>
                <w:lang w:val="en-US"/>
              </w:rPr>
              <w:t>General adult outpatient clinic at City Central based at St Peters Health Centre</w:t>
            </w:r>
          </w:p>
        </w:tc>
        <w:tc>
          <w:tcPr>
            <w:tcW w:w="1825" w:type="dxa"/>
            <w:vAlign w:val="center"/>
          </w:tcPr>
          <w:p w14:paraId="4145843D" w14:textId="450DEF7E" w:rsidR="00B400E1" w:rsidRPr="0019070E" w:rsidRDefault="000170AB" w:rsidP="00920112">
            <w:pPr>
              <w:jc w:val="center"/>
              <w:rPr>
                <w:lang w:val="en-US"/>
              </w:rPr>
            </w:pPr>
            <w:r w:rsidRPr="000170AB">
              <w:rPr>
                <w:lang w:val="en-US"/>
              </w:rPr>
              <w:t>Home Visits/Ward Assessments</w:t>
            </w:r>
          </w:p>
        </w:tc>
      </w:tr>
      <w:tr w:rsidR="00B400E1" w:rsidRPr="00B400E1" w14:paraId="3A29B13D" w14:textId="77777777" w:rsidTr="00920112">
        <w:trPr>
          <w:trHeight w:val="90"/>
        </w:trPr>
        <w:tc>
          <w:tcPr>
            <w:tcW w:w="1502" w:type="dxa"/>
            <w:shd w:val="clear" w:color="auto" w:fill="FFC000"/>
            <w:vAlign w:val="center"/>
          </w:tcPr>
          <w:p w14:paraId="5EBAED90" w14:textId="31253D87" w:rsidR="00B400E1" w:rsidRPr="00F62F09" w:rsidRDefault="00B400E1" w:rsidP="00AA4F14">
            <w:pPr>
              <w:rPr>
                <w:b/>
                <w:bCs/>
                <w:sz w:val="24"/>
                <w:szCs w:val="24"/>
                <w:lang w:val="en-US"/>
              </w:rPr>
            </w:pPr>
            <w:r w:rsidRPr="00F62F09">
              <w:rPr>
                <w:b/>
                <w:bCs/>
                <w:sz w:val="24"/>
                <w:szCs w:val="24"/>
                <w:lang w:val="en-US"/>
              </w:rPr>
              <w:t>Lunchtime</w:t>
            </w:r>
          </w:p>
        </w:tc>
        <w:tc>
          <w:tcPr>
            <w:tcW w:w="1825" w:type="dxa"/>
            <w:vAlign w:val="center"/>
          </w:tcPr>
          <w:p w14:paraId="4438905E" w14:textId="77777777" w:rsidR="00B400E1" w:rsidRPr="0019070E" w:rsidRDefault="00B400E1" w:rsidP="00920112">
            <w:pPr>
              <w:jc w:val="center"/>
              <w:rPr>
                <w:lang w:val="en-US"/>
              </w:rPr>
            </w:pPr>
          </w:p>
        </w:tc>
        <w:tc>
          <w:tcPr>
            <w:tcW w:w="1825" w:type="dxa"/>
            <w:gridSpan w:val="3"/>
            <w:vAlign w:val="center"/>
          </w:tcPr>
          <w:p w14:paraId="490744EF" w14:textId="22DF0375" w:rsidR="00B400E1" w:rsidRPr="0019070E" w:rsidRDefault="000170AB" w:rsidP="00920112">
            <w:pPr>
              <w:jc w:val="center"/>
              <w:rPr>
                <w:lang w:val="en-US"/>
              </w:rPr>
            </w:pPr>
            <w:r w:rsidRPr="000170AB">
              <w:rPr>
                <w:lang w:val="en-US"/>
              </w:rPr>
              <w:t>Journal Club</w:t>
            </w:r>
          </w:p>
        </w:tc>
        <w:tc>
          <w:tcPr>
            <w:tcW w:w="1825" w:type="dxa"/>
            <w:gridSpan w:val="2"/>
            <w:vAlign w:val="center"/>
          </w:tcPr>
          <w:p w14:paraId="36EC560C" w14:textId="630E72E6" w:rsidR="00B400E1" w:rsidRPr="0019070E" w:rsidRDefault="00B400E1" w:rsidP="00920112">
            <w:pPr>
              <w:jc w:val="center"/>
              <w:rPr>
                <w:lang w:val="en-US"/>
              </w:rPr>
            </w:pPr>
          </w:p>
        </w:tc>
        <w:tc>
          <w:tcPr>
            <w:tcW w:w="1825" w:type="dxa"/>
            <w:vAlign w:val="center"/>
          </w:tcPr>
          <w:p w14:paraId="23ADE04E" w14:textId="77777777" w:rsidR="00B400E1" w:rsidRPr="0019070E" w:rsidRDefault="00B400E1" w:rsidP="00920112">
            <w:pPr>
              <w:jc w:val="center"/>
              <w:rPr>
                <w:lang w:val="en-US"/>
              </w:rPr>
            </w:pPr>
          </w:p>
        </w:tc>
        <w:tc>
          <w:tcPr>
            <w:tcW w:w="1825" w:type="dxa"/>
            <w:vAlign w:val="center"/>
          </w:tcPr>
          <w:p w14:paraId="41E99C9B" w14:textId="329515EE" w:rsidR="00B400E1" w:rsidRPr="0019070E" w:rsidRDefault="000170AB" w:rsidP="00920112">
            <w:pPr>
              <w:jc w:val="center"/>
              <w:rPr>
                <w:lang w:val="en-US"/>
              </w:rPr>
            </w:pPr>
            <w:r w:rsidRPr="000170AB">
              <w:rPr>
                <w:lang w:val="en-US"/>
              </w:rPr>
              <w:t>Academic Meeting</w:t>
            </w:r>
          </w:p>
        </w:tc>
      </w:tr>
      <w:tr w:rsidR="00B400E1" w:rsidRPr="00B400E1" w14:paraId="46E34E3F" w14:textId="77777777" w:rsidTr="00920112">
        <w:trPr>
          <w:trHeight w:val="90"/>
        </w:trPr>
        <w:tc>
          <w:tcPr>
            <w:tcW w:w="1502" w:type="dxa"/>
            <w:shd w:val="clear" w:color="auto" w:fill="FFC000"/>
            <w:vAlign w:val="center"/>
          </w:tcPr>
          <w:p w14:paraId="4881E41F" w14:textId="74267327" w:rsidR="00B400E1" w:rsidRPr="00F62F09" w:rsidRDefault="00B400E1" w:rsidP="00AA4F14">
            <w:pPr>
              <w:rPr>
                <w:b/>
                <w:bCs/>
                <w:sz w:val="24"/>
                <w:szCs w:val="24"/>
                <w:lang w:val="en-US"/>
              </w:rPr>
            </w:pPr>
            <w:r w:rsidRPr="00F62F09">
              <w:rPr>
                <w:b/>
                <w:bCs/>
                <w:sz w:val="24"/>
                <w:szCs w:val="24"/>
                <w:lang w:val="en-US"/>
              </w:rPr>
              <w:t>PM</w:t>
            </w:r>
          </w:p>
        </w:tc>
        <w:tc>
          <w:tcPr>
            <w:tcW w:w="1825" w:type="dxa"/>
            <w:vAlign w:val="center"/>
          </w:tcPr>
          <w:p w14:paraId="3A195FB0" w14:textId="384D51E9" w:rsidR="00B400E1" w:rsidRPr="0019070E" w:rsidRDefault="000170AB" w:rsidP="00920112">
            <w:pPr>
              <w:jc w:val="center"/>
              <w:rPr>
                <w:lang w:val="en-US"/>
              </w:rPr>
            </w:pPr>
            <w:r w:rsidRPr="000170AB">
              <w:rPr>
                <w:lang w:val="en-US"/>
              </w:rPr>
              <w:t>Home Visits/Ward Assessments</w:t>
            </w:r>
          </w:p>
        </w:tc>
        <w:tc>
          <w:tcPr>
            <w:tcW w:w="1825" w:type="dxa"/>
            <w:gridSpan w:val="3"/>
            <w:vAlign w:val="center"/>
          </w:tcPr>
          <w:p w14:paraId="7A78C863" w14:textId="3D5E596F" w:rsidR="00B400E1" w:rsidRPr="0019070E" w:rsidRDefault="000170AB" w:rsidP="00920112">
            <w:pPr>
              <w:jc w:val="center"/>
              <w:rPr>
                <w:lang w:val="en-US"/>
              </w:rPr>
            </w:pPr>
            <w:r w:rsidRPr="000170AB">
              <w:rPr>
                <w:lang w:val="en-US"/>
              </w:rPr>
              <w:t>Home Visits/Ward Assessments</w:t>
            </w:r>
          </w:p>
        </w:tc>
        <w:tc>
          <w:tcPr>
            <w:tcW w:w="1825" w:type="dxa"/>
            <w:gridSpan w:val="2"/>
            <w:vAlign w:val="center"/>
          </w:tcPr>
          <w:p w14:paraId="06AC7BEC" w14:textId="464B56D9" w:rsidR="00B400E1" w:rsidRPr="0019070E" w:rsidRDefault="000170AB" w:rsidP="00920112">
            <w:pPr>
              <w:jc w:val="center"/>
              <w:rPr>
                <w:lang w:val="en-US"/>
              </w:rPr>
            </w:pPr>
            <w:r w:rsidRPr="000170AB">
              <w:rPr>
                <w:lang w:val="en-US"/>
              </w:rPr>
              <w:t>CMHT Meetings</w:t>
            </w:r>
          </w:p>
        </w:tc>
        <w:tc>
          <w:tcPr>
            <w:tcW w:w="1825" w:type="dxa"/>
            <w:vAlign w:val="center"/>
          </w:tcPr>
          <w:p w14:paraId="221ACD40" w14:textId="593A09AC" w:rsidR="00B400E1" w:rsidRPr="0019070E" w:rsidRDefault="000170AB" w:rsidP="00920112">
            <w:pPr>
              <w:jc w:val="center"/>
              <w:rPr>
                <w:lang w:val="en-US"/>
              </w:rPr>
            </w:pPr>
            <w:r w:rsidRPr="000170AB">
              <w:rPr>
                <w:lang w:val="en-US"/>
              </w:rPr>
              <w:t>Clinic admin</w:t>
            </w:r>
          </w:p>
        </w:tc>
        <w:tc>
          <w:tcPr>
            <w:tcW w:w="1825" w:type="dxa"/>
            <w:vAlign w:val="center"/>
          </w:tcPr>
          <w:p w14:paraId="7940D2C8" w14:textId="2048C666" w:rsidR="00B400E1" w:rsidRPr="0019070E" w:rsidRDefault="000170AB" w:rsidP="00587376">
            <w:pPr>
              <w:jc w:val="center"/>
              <w:rPr>
                <w:lang w:val="en-US"/>
              </w:rPr>
            </w:pPr>
            <w:r w:rsidRPr="000170AB">
              <w:rPr>
                <w:lang w:val="en-US"/>
              </w:rPr>
              <w:t>Home Visits/Ward Assessments</w:t>
            </w:r>
          </w:p>
        </w:tc>
      </w:tr>
      <w:tr w:rsidR="008229C7" w:rsidRPr="00414F83" w14:paraId="4A6611C0" w14:textId="77777777" w:rsidTr="00414F83">
        <w:trPr>
          <w:trHeight w:val="90"/>
        </w:trPr>
        <w:tc>
          <w:tcPr>
            <w:tcW w:w="10627" w:type="dxa"/>
            <w:gridSpan w:val="9"/>
            <w:shd w:val="clear" w:color="auto" w:fill="C1F0C7" w:themeFill="accent3" w:themeFillTint="33"/>
            <w:vAlign w:val="center"/>
          </w:tcPr>
          <w:p w14:paraId="4BEFD25D" w14:textId="5FDD68CA" w:rsidR="008229C7" w:rsidRPr="00414F83" w:rsidRDefault="008229C7" w:rsidP="00AA4F14">
            <w:pPr>
              <w:rPr>
                <w:b/>
                <w:bCs/>
                <w:sz w:val="24"/>
                <w:szCs w:val="24"/>
                <w:lang w:val="en-US"/>
              </w:rPr>
            </w:pPr>
            <w:r w:rsidRPr="00414F83">
              <w:rPr>
                <w:b/>
                <w:bCs/>
                <w:sz w:val="24"/>
                <w:szCs w:val="24"/>
                <w:lang w:val="en-US"/>
              </w:rPr>
              <w:lastRenderedPageBreak/>
              <w:t>Educational Activities:</w:t>
            </w:r>
          </w:p>
        </w:tc>
      </w:tr>
      <w:tr w:rsidR="008229C7" w:rsidRPr="00B400E1" w14:paraId="3E34C669" w14:textId="77777777" w:rsidTr="0019070E">
        <w:trPr>
          <w:trHeight w:val="90"/>
        </w:trPr>
        <w:tc>
          <w:tcPr>
            <w:tcW w:w="10627" w:type="dxa"/>
            <w:gridSpan w:val="9"/>
          </w:tcPr>
          <w:p w14:paraId="19F10956" w14:textId="77777777" w:rsidR="008229C7" w:rsidRDefault="008229C7" w:rsidP="0019070E">
            <w:pPr>
              <w:rPr>
                <w:sz w:val="24"/>
                <w:szCs w:val="24"/>
                <w:lang w:val="en-US"/>
              </w:rPr>
            </w:pPr>
          </w:p>
          <w:p w14:paraId="2E1F5CDC" w14:textId="77777777" w:rsidR="00414F83" w:rsidRDefault="00A229CC" w:rsidP="0019070E">
            <w:pPr>
              <w:rPr>
                <w:sz w:val="24"/>
                <w:szCs w:val="24"/>
                <w:lang w:val="en-US"/>
              </w:rPr>
            </w:pPr>
            <w:r w:rsidRPr="00A229CC">
              <w:rPr>
                <w:sz w:val="24"/>
                <w:szCs w:val="24"/>
                <w:lang w:val="en-US"/>
              </w:rPr>
              <w:t>You will receive face to face weekly supervision with your Clinical Supervisor, lasting one hour. You will be expected to attend weekly journal club case conference and the Friday lunchtime academic meeting with teaching on a variety of topics.</w:t>
            </w:r>
          </w:p>
          <w:p w14:paraId="47AB472B" w14:textId="77777777" w:rsidR="00A229CC" w:rsidRDefault="00A229CC" w:rsidP="0019070E">
            <w:pPr>
              <w:rPr>
                <w:sz w:val="24"/>
                <w:szCs w:val="24"/>
                <w:lang w:val="en-US"/>
              </w:rPr>
            </w:pPr>
          </w:p>
          <w:p w14:paraId="73E89F50" w14:textId="6671E2A0" w:rsidR="00A229CC" w:rsidRPr="00B400E1" w:rsidRDefault="00A229CC" w:rsidP="0019070E">
            <w:pPr>
              <w:rPr>
                <w:sz w:val="24"/>
                <w:szCs w:val="24"/>
                <w:lang w:val="en-US"/>
              </w:rPr>
            </w:pPr>
            <w:r w:rsidRPr="00A229CC">
              <w:rPr>
                <w:sz w:val="24"/>
                <w:szCs w:val="24"/>
                <w:lang w:val="en-US"/>
              </w:rPr>
              <w:t>There will be opportunities for clinical audit, ECT participation and you will be able to attend all mandatory FY teaching.</w:t>
            </w:r>
          </w:p>
        </w:tc>
      </w:tr>
      <w:tr w:rsidR="008229C7" w:rsidRPr="00414F83" w14:paraId="6ABD4C68" w14:textId="77777777" w:rsidTr="00414F83">
        <w:trPr>
          <w:trHeight w:val="90"/>
        </w:trPr>
        <w:tc>
          <w:tcPr>
            <w:tcW w:w="10627" w:type="dxa"/>
            <w:gridSpan w:val="9"/>
            <w:shd w:val="clear" w:color="auto" w:fill="C1F0C7" w:themeFill="accent3" w:themeFillTint="33"/>
            <w:vAlign w:val="center"/>
          </w:tcPr>
          <w:p w14:paraId="30168371" w14:textId="33ADECBC" w:rsidR="008229C7" w:rsidRPr="00414F83" w:rsidRDefault="008229C7" w:rsidP="00AA4F14">
            <w:pPr>
              <w:rPr>
                <w:b/>
                <w:bCs/>
                <w:sz w:val="24"/>
                <w:szCs w:val="24"/>
                <w:lang w:val="en-US"/>
              </w:rPr>
            </w:pPr>
            <w:r w:rsidRPr="00414F83">
              <w:rPr>
                <w:b/>
                <w:bCs/>
                <w:sz w:val="24"/>
                <w:szCs w:val="24"/>
                <w:lang w:val="en-US"/>
              </w:rPr>
              <w:t>Other Comments (if appropriate):</w:t>
            </w:r>
          </w:p>
        </w:tc>
      </w:tr>
      <w:tr w:rsidR="008229C7" w:rsidRPr="00B400E1" w14:paraId="3960310A" w14:textId="77777777" w:rsidTr="0019070E">
        <w:trPr>
          <w:trHeight w:val="90"/>
        </w:trPr>
        <w:tc>
          <w:tcPr>
            <w:tcW w:w="10627" w:type="dxa"/>
            <w:gridSpan w:val="9"/>
          </w:tcPr>
          <w:p w14:paraId="27BE133D" w14:textId="05FD7ADE" w:rsidR="00414F83" w:rsidRDefault="00A229CC" w:rsidP="0019070E">
            <w:pPr>
              <w:rPr>
                <w:sz w:val="24"/>
                <w:szCs w:val="24"/>
                <w:lang w:val="en-US"/>
              </w:rPr>
            </w:pPr>
            <w:r w:rsidRPr="00A229CC">
              <w:rPr>
                <w:sz w:val="24"/>
                <w:szCs w:val="24"/>
                <w:lang w:val="en-US"/>
              </w:rPr>
              <w:t>Leicestershire Partnership Trust places a keen focus on the education and training of junior doctors. This post will provide excellent opportunity to develop your clinical skills and competencies, ensuring you meet the objectives set in the foundation training curriculum.</w:t>
            </w:r>
          </w:p>
          <w:p w14:paraId="1A97765C" w14:textId="77777777" w:rsidR="00A229CC" w:rsidRDefault="00A229CC" w:rsidP="0019070E">
            <w:pPr>
              <w:rPr>
                <w:sz w:val="24"/>
                <w:szCs w:val="24"/>
                <w:lang w:val="en-US"/>
              </w:rPr>
            </w:pPr>
          </w:p>
          <w:p w14:paraId="2AE21CD7" w14:textId="1984C616" w:rsidR="00A229CC" w:rsidRDefault="00A229CC" w:rsidP="0019070E">
            <w:pPr>
              <w:rPr>
                <w:sz w:val="24"/>
                <w:szCs w:val="24"/>
                <w:lang w:val="en-US"/>
              </w:rPr>
            </w:pPr>
            <w:r w:rsidRPr="00A229CC">
              <w:rPr>
                <w:sz w:val="24"/>
                <w:szCs w:val="24"/>
                <w:lang w:val="en-US"/>
              </w:rPr>
              <w:t>Working within general adult psychiatry, you will have the opportunity of assessing and treating patients with a range of physical and mental health needs in both hospital and community settings. With the treatment focusing on the whole of the patient, you will gain an insight into holistic healthcare and the increasing importance of managing chronic health problems in the community, closely allied with the objective of the Foundation Curriculum.</w:t>
            </w:r>
          </w:p>
          <w:p w14:paraId="28FCA214" w14:textId="77777777" w:rsidR="00A229CC" w:rsidRDefault="00A229CC" w:rsidP="0019070E">
            <w:pPr>
              <w:rPr>
                <w:sz w:val="24"/>
                <w:szCs w:val="24"/>
                <w:lang w:val="en-US"/>
              </w:rPr>
            </w:pPr>
          </w:p>
          <w:p w14:paraId="24ECBCB6" w14:textId="77777777" w:rsidR="00414F83" w:rsidRDefault="00A229CC" w:rsidP="0019070E">
            <w:pPr>
              <w:rPr>
                <w:sz w:val="24"/>
                <w:szCs w:val="24"/>
                <w:lang w:val="en-US"/>
              </w:rPr>
            </w:pPr>
            <w:r w:rsidRPr="00A229CC">
              <w:rPr>
                <w:sz w:val="24"/>
                <w:szCs w:val="24"/>
                <w:lang w:val="en-US"/>
              </w:rPr>
              <w:t>With excellent senior support, including an hour of clinical supervision with a named clinical supervisor per week, we will support you in our in-house Academic Programme. We will ensure that you are exposed to multidisciplinary team working, with the patient at the centre of the care and where possible will offer the opportunity for exploring special interests in this field.</w:t>
            </w:r>
          </w:p>
          <w:p w14:paraId="3441062E" w14:textId="77777777" w:rsidR="00A229CC" w:rsidRDefault="00A229CC" w:rsidP="0019070E">
            <w:pPr>
              <w:rPr>
                <w:sz w:val="24"/>
                <w:szCs w:val="24"/>
                <w:lang w:val="en-US"/>
              </w:rPr>
            </w:pPr>
          </w:p>
          <w:p w14:paraId="316CE37E" w14:textId="1D6C7FDC" w:rsidR="00A229CC" w:rsidRPr="00B400E1" w:rsidRDefault="00A229CC" w:rsidP="0019070E">
            <w:pPr>
              <w:rPr>
                <w:sz w:val="24"/>
                <w:szCs w:val="24"/>
                <w:lang w:val="en-US"/>
              </w:rPr>
            </w:pPr>
            <w:r w:rsidRPr="00A229CC">
              <w:rPr>
                <w:sz w:val="24"/>
                <w:szCs w:val="24"/>
                <w:lang w:val="en-US"/>
              </w:rPr>
              <w:t>Along with developing your knowledge and treatment of both mental and physical disorders, you will have the opportunity to expand on a wide range of skills that will be applicable across multiple domains of medicine. This may include experience in leadership and communication skills.</w:t>
            </w:r>
          </w:p>
        </w:tc>
      </w:tr>
      <w:tr w:rsidR="006A4C99" w:rsidRPr="00B400E1" w14:paraId="753E3081" w14:textId="77777777" w:rsidTr="00414F83">
        <w:trPr>
          <w:trHeight w:val="482"/>
        </w:trPr>
        <w:tc>
          <w:tcPr>
            <w:tcW w:w="10627" w:type="dxa"/>
            <w:gridSpan w:val="9"/>
            <w:shd w:val="clear" w:color="auto" w:fill="FFFF00"/>
            <w:vAlign w:val="center"/>
          </w:tcPr>
          <w:p w14:paraId="3387A127" w14:textId="29DE805F" w:rsidR="006A4C99" w:rsidRPr="00B400E1" w:rsidRDefault="00F62F09" w:rsidP="00F62F09">
            <w:pPr>
              <w:jc w:val="center"/>
              <w:rPr>
                <w:sz w:val="24"/>
                <w:szCs w:val="24"/>
                <w:lang w:val="en-US"/>
              </w:rPr>
            </w:pPr>
            <w:r w:rsidRPr="00302740">
              <w:rPr>
                <w:b/>
                <w:bCs/>
                <w:color w:val="C00000"/>
                <w:sz w:val="24"/>
                <w:szCs w:val="24"/>
                <w:lang w:val="en-US"/>
              </w:rPr>
              <w:t xml:space="preserve">Disclaimer: </w:t>
            </w:r>
            <w:r w:rsidRPr="00302740">
              <w:rPr>
                <w:color w:val="C00000"/>
                <w:sz w:val="24"/>
                <w:szCs w:val="24"/>
                <w:lang w:val="en-US"/>
              </w:rPr>
              <w:t>Please note that the placement information provided is subject to change.</w:t>
            </w:r>
          </w:p>
        </w:tc>
      </w:tr>
    </w:tbl>
    <w:p w14:paraId="16DA05DB" w14:textId="77777777" w:rsidR="00FA0C57" w:rsidRDefault="00FA0C57"/>
    <w:p w14:paraId="4D4C0286" w14:textId="77777777" w:rsidR="0007118D" w:rsidRPr="0007118D" w:rsidRDefault="0007118D" w:rsidP="00587376"/>
    <w:sectPr w:rsidR="0007118D" w:rsidRPr="0007118D" w:rsidSect="00F62F0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922" w14:textId="77777777" w:rsidR="00F26028" w:rsidRDefault="00F26028" w:rsidP="0007118D">
      <w:pPr>
        <w:spacing w:after="0" w:line="240" w:lineRule="auto"/>
      </w:pPr>
      <w:r>
        <w:separator/>
      </w:r>
    </w:p>
  </w:endnote>
  <w:endnote w:type="continuationSeparator" w:id="0">
    <w:p w14:paraId="4BE4CA04" w14:textId="77777777" w:rsidR="00F26028" w:rsidRDefault="00F26028" w:rsidP="000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9329"/>
      <w:docPartObj>
        <w:docPartGallery w:val="Page Numbers (Bottom of Page)"/>
        <w:docPartUnique/>
      </w:docPartObj>
    </w:sdtPr>
    <w:sdtEndPr/>
    <w:sdtContent>
      <w:sdt>
        <w:sdtPr>
          <w:id w:val="1728636285"/>
          <w:docPartObj>
            <w:docPartGallery w:val="Page Numbers (Top of Page)"/>
            <w:docPartUnique/>
          </w:docPartObj>
        </w:sdtPr>
        <w:sdtEndPr/>
        <w:sdtContent>
          <w:p w14:paraId="0EF37E13" w14:textId="40CE8FA5" w:rsidR="0007118D" w:rsidRDefault="0007118D">
            <w:pPr>
              <w:pStyle w:val="Footer"/>
              <w:jc w:val="center"/>
            </w:pPr>
            <w:r w:rsidRPr="0007118D">
              <w:rPr>
                <w:sz w:val="20"/>
                <w:szCs w:val="20"/>
              </w:rPr>
              <w:t xml:space="preserve">Page </w:t>
            </w:r>
            <w:r w:rsidRPr="0007118D">
              <w:rPr>
                <w:b/>
                <w:bCs/>
                <w:sz w:val="20"/>
                <w:szCs w:val="20"/>
              </w:rPr>
              <w:fldChar w:fldCharType="begin"/>
            </w:r>
            <w:r w:rsidRPr="0007118D">
              <w:rPr>
                <w:b/>
                <w:bCs/>
                <w:sz w:val="20"/>
                <w:szCs w:val="20"/>
              </w:rPr>
              <w:instrText>PAGE</w:instrText>
            </w:r>
            <w:r w:rsidRPr="0007118D">
              <w:rPr>
                <w:b/>
                <w:bCs/>
                <w:sz w:val="20"/>
                <w:szCs w:val="20"/>
              </w:rPr>
              <w:fldChar w:fldCharType="separate"/>
            </w:r>
            <w:r w:rsidR="00C0171E">
              <w:rPr>
                <w:b/>
                <w:bCs/>
                <w:noProof/>
                <w:sz w:val="20"/>
                <w:szCs w:val="20"/>
              </w:rPr>
              <w:t>1</w:t>
            </w:r>
            <w:r w:rsidRPr="0007118D">
              <w:rPr>
                <w:b/>
                <w:bCs/>
                <w:sz w:val="20"/>
                <w:szCs w:val="20"/>
              </w:rPr>
              <w:fldChar w:fldCharType="end"/>
            </w:r>
            <w:r w:rsidRPr="0007118D">
              <w:rPr>
                <w:sz w:val="20"/>
                <w:szCs w:val="20"/>
              </w:rPr>
              <w:t xml:space="preserve"> of </w:t>
            </w:r>
            <w:r w:rsidRPr="0007118D">
              <w:rPr>
                <w:b/>
                <w:bCs/>
                <w:sz w:val="20"/>
                <w:szCs w:val="20"/>
              </w:rPr>
              <w:fldChar w:fldCharType="begin"/>
            </w:r>
            <w:r w:rsidRPr="0007118D">
              <w:rPr>
                <w:b/>
                <w:bCs/>
                <w:sz w:val="20"/>
                <w:szCs w:val="20"/>
              </w:rPr>
              <w:instrText>NUMPAGES</w:instrText>
            </w:r>
            <w:r w:rsidRPr="0007118D">
              <w:rPr>
                <w:b/>
                <w:bCs/>
                <w:sz w:val="20"/>
                <w:szCs w:val="20"/>
              </w:rPr>
              <w:fldChar w:fldCharType="separate"/>
            </w:r>
            <w:r w:rsidR="00C0171E">
              <w:rPr>
                <w:b/>
                <w:bCs/>
                <w:noProof/>
                <w:sz w:val="20"/>
                <w:szCs w:val="20"/>
              </w:rPr>
              <w:t>1</w:t>
            </w:r>
            <w:r w:rsidRPr="0007118D">
              <w:rPr>
                <w:b/>
                <w:bCs/>
                <w:sz w:val="20"/>
                <w:szCs w:val="20"/>
              </w:rPr>
              <w:fldChar w:fldCharType="end"/>
            </w:r>
          </w:p>
        </w:sdtContent>
      </w:sdt>
    </w:sdtContent>
  </w:sdt>
  <w:p w14:paraId="3BAB3966" w14:textId="77777777" w:rsidR="0007118D" w:rsidRDefault="0007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EC3" w14:textId="77777777" w:rsidR="00F26028" w:rsidRDefault="00F26028" w:rsidP="0007118D">
      <w:pPr>
        <w:spacing w:after="0" w:line="240" w:lineRule="auto"/>
      </w:pPr>
      <w:r>
        <w:separator/>
      </w:r>
    </w:p>
  </w:footnote>
  <w:footnote w:type="continuationSeparator" w:id="0">
    <w:p w14:paraId="50ED5E8B" w14:textId="77777777" w:rsidR="00F26028" w:rsidRDefault="00F26028" w:rsidP="00071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8"/>
    <w:rsid w:val="000170AB"/>
    <w:rsid w:val="0007118D"/>
    <w:rsid w:val="0019070E"/>
    <w:rsid w:val="0026628D"/>
    <w:rsid w:val="003B29A4"/>
    <w:rsid w:val="00414F83"/>
    <w:rsid w:val="00460C78"/>
    <w:rsid w:val="004B64FC"/>
    <w:rsid w:val="004F74A6"/>
    <w:rsid w:val="00553A8C"/>
    <w:rsid w:val="00587376"/>
    <w:rsid w:val="00620FF2"/>
    <w:rsid w:val="006A4C99"/>
    <w:rsid w:val="008229C7"/>
    <w:rsid w:val="00920112"/>
    <w:rsid w:val="009277B9"/>
    <w:rsid w:val="00A229CC"/>
    <w:rsid w:val="00AA11C4"/>
    <w:rsid w:val="00AA2516"/>
    <w:rsid w:val="00AA4F14"/>
    <w:rsid w:val="00AE1A34"/>
    <w:rsid w:val="00B400E1"/>
    <w:rsid w:val="00C0171E"/>
    <w:rsid w:val="00D65159"/>
    <w:rsid w:val="00E82279"/>
    <w:rsid w:val="00ED459B"/>
    <w:rsid w:val="00F26028"/>
    <w:rsid w:val="00F62F09"/>
    <w:rsid w:val="00F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1DC"/>
  <w15:docId w15:val="{7244F977-48BD-41FA-A79D-757E9822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9"/>
    <w:rPr>
      <w:kern w:val="0"/>
      <w14:ligatures w14:val="none"/>
    </w:rPr>
  </w:style>
  <w:style w:type="paragraph" w:styleId="Heading1">
    <w:name w:val="heading 1"/>
    <w:basedOn w:val="Normal"/>
    <w:next w:val="Normal"/>
    <w:link w:val="Heading1Char"/>
    <w:uiPriority w:val="9"/>
    <w:qFormat/>
    <w:rsid w:val="00460C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C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C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C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0C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0C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0C7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0C7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0C7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78"/>
    <w:rPr>
      <w:rFonts w:eastAsiaTheme="majorEastAsia" w:cstheme="majorBidi"/>
      <w:color w:val="272727" w:themeColor="text1" w:themeTint="D8"/>
    </w:rPr>
  </w:style>
  <w:style w:type="paragraph" w:styleId="Title">
    <w:name w:val="Title"/>
    <w:basedOn w:val="Normal"/>
    <w:next w:val="Normal"/>
    <w:link w:val="TitleChar"/>
    <w:uiPriority w:val="10"/>
    <w:qFormat/>
    <w:rsid w:val="00460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7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0C78"/>
    <w:rPr>
      <w:i/>
      <w:iCs/>
      <w:color w:val="404040" w:themeColor="text1" w:themeTint="BF"/>
    </w:rPr>
  </w:style>
  <w:style w:type="paragraph" w:styleId="ListParagraph">
    <w:name w:val="List Paragraph"/>
    <w:basedOn w:val="Normal"/>
    <w:uiPriority w:val="34"/>
    <w:qFormat/>
    <w:rsid w:val="00460C78"/>
    <w:pPr>
      <w:ind w:left="720"/>
      <w:contextualSpacing/>
    </w:pPr>
    <w:rPr>
      <w:kern w:val="2"/>
      <w14:ligatures w14:val="standardContextual"/>
    </w:rPr>
  </w:style>
  <w:style w:type="character" w:styleId="IntenseEmphasis">
    <w:name w:val="Intense Emphasis"/>
    <w:basedOn w:val="DefaultParagraphFont"/>
    <w:uiPriority w:val="21"/>
    <w:qFormat/>
    <w:rsid w:val="00460C78"/>
    <w:rPr>
      <w:i/>
      <w:iCs/>
      <w:color w:val="0F4761" w:themeColor="accent1" w:themeShade="BF"/>
    </w:rPr>
  </w:style>
  <w:style w:type="paragraph" w:styleId="IntenseQuote">
    <w:name w:val="Intense Quote"/>
    <w:basedOn w:val="Normal"/>
    <w:next w:val="Normal"/>
    <w:link w:val="IntenseQuoteChar"/>
    <w:uiPriority w:val="30"/>
    <w:qFormat/>
    <w:rsid w:val="0046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0C78"/>
    <w:rPr>
      <w:i/>
      <w:iCs/>
      <w:color w:val="0F4761" w:themeColor="accent1" w:themeShade="BF"/>
    </w:rPr>
  </w:style>
  <w:style w:type="character" w:styleId="IntenseReference">
    <w:name w:val="Intense Reference"/>
    <w:basedOn w:val="DefaultParagraphFont"/>
    <w:uiPriority w:val="32"/>
    <w:qFormat/>
    <w:rsid w:val="00460C78"/>
    <w:rPr>
      <w:b/>
      <w:bCs/>
      <w:smallCaps/>
      <w:color w:val="0F4761" w:themeColor="accent1" w:themeShade="BF"/>
      <w:spacing w:val="5"/>
    </w:rPr>
  </w:style>
  <w:style w:type="table" w:styleId="TableGrid">
    <w:name w:val="Table Grid"/>
    <w:basedOn w:val="TableNormal"/>
    <w:uiPriority w:val="39"/>
    <w:rsid w:val="00D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8D"/>
    <w:rPr>
      <w:kern w:val="0"/>
      <w14:ligatures w14:val="none"/>
    </w:rPr>
  </w:style>
  <w:style w:type="paragraph" w:styleId="Footer">
    <w:name w:val="footer"/>
    <w:basedOn w:val="Normal"/>
    <w:link w:val="FooterChar"/>
    <w:uiPriority w:val="99"/>
    <w:unhideWhenUsed/>
    <w:rsid w:val="0007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152a24aa-af11-4663-ac03-268ed99449f6" xsi:nil="true"/>
    <_ip_UnifiedCompliancePolicyProperties xmlns="152a24aa-af11-4663-ac03-268ed99449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0DD3D919C02B40AFFCA05862CC1AFC" ma:contentTypeVersion="16" ma:contentTypeDescription="Create a new document." ma:contentTypeScope="" ma:versionID="0035b2c01dbf565a89fd1b14580fe669">
  <xsd:schema xmlns:xsd="http://www.w3.org/2001/XMLSchema" xmlns:xs="http://www.w3.org/2001/XMLSchema" xmlns:p="http://schemas.microsoft.com/office/2006/metadata/properties" xmlns:ns2="9929fc2e-72ba-405b-bc74-e4c2d93106eb" xmlns:ns3="152a24aa-af11-4663-ac03-268ed99449f6" targetNamespace="http://schemas.microsoft.com/office/2006/metadata/properties" ma:root="true" ma:fieldsID="bf43217e3d2f1f44dc2b5a2dee19cc63" ns2:_="" ns3:_="">
    <xsd:import namespace="9929fc2e-72ba-405b-bc74-e4c2d93106eb"/>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fc2e-72ba-405b-bc74-e4c2d93106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88D58-8B49-4295-92E9-B8DE40014311}">
  <ds:schemaRefs>
    <ds:schemaRef ds:uri="152a24aa-af11-4663-ac03-268ed99449f6"/>
    <ds:schemaRef ds:uri="http://purl.org/dc/terms/"/>
    <ds:schemaRef ds:uri="9929fc2e-72ba-405b-bc74-e4c2d93106e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87D626-442A-4D2F-8A7D-7FFCDDAF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fc2e-72ba-405b-bc74-e4c2d93106eb"/>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DD8DC-99CB-47EC-8D24-4598284F9F3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36</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CADIENTE, Cherry (NHS ENGLAND - T1510)</dc:creator>
  <cp:lastModifiedBy>Wilson Jason - Foundation Programme Co-Ordinator</cp:lastModifiedBy>
  <cp:revision>3</cp:revision>
  <dcterms:created xsi:type="dcterms:W3CDTF">2025-01-16T13:38:00Z</dcterms:created>
  <dcterms:modified xsi:type="dcterms:W3CDTF">2025-01-16T14:13:00Z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0x010100460DD3D919C02B40AFFCA05862CC1AFC</vt:lpwstr>
  </property>
</Properties>
</file>